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3087" w14:textId="77777777" w:rsidR="006702E8" w:rsidRPr="006702E8" w:rsidRDefault="006702E8" w:rsidP="006702E8">
      <w:pPr>
        <w:spacing w:after="120" w:line="240" w:lineRule="auto"/>
        <w:jc w:val="both"/>
        <w:rPr>
          <w:rFonts w:ascii="Times New Roman" w:hAnsi="Times New Roman" w:cs="Times New Roman"/>
          <w:b/>
          <w:bCs/>
          <w:color w:val="000000"/>
          <w:sz w:val="24"/>
          <w:szCs w:val="24"/>
        </w:rPr>
      </w:pPr>
    </w:p>
    <w:p w14:paraId="1D3D4EA3" w14:textId="77777777" w:rsidR="006702E8" w:rsidRPr="005D239B" w:rsidRDefault="006702E8" w:rsidP="006702E8">
      <w:pPr>
        <w:spacing w:after="120" w:line="240" w:lineRule="auto"/>
        <w:jc w:val="center"/>
        <w:rPr>
          <w:rFonts w:asciiTheme="majorHAnsi" w:eastAsia="Calibri" w:hAnsiTheme="majorHAnsi" w:cs="Times New Roman"/>
          <w:b/>
          <w:sz w:val="28"/>
          <w:szCs w:val="28"/>
        </w:rPr>
      </w:pPr>
    </w:p>
    <w:p w14:paraId="53FE8168" w14:textId="77777777" w:rsidR="006702E8" w:rsidRPr="005D239B" w:rsidRDefault="006702E8" w:rsidP="00284556">
      <w:pPr>
        <w:pBdr>
          <w:bottom w:val="single" w:sz="4" w:space="1" w:color="auto"/>
        </w:pBdr>
        <w:spacing w:after="0"/>
        <w:jc w:val="center"/>
        <w:outlineLvl w:val="0"/>
        <w:rPr>
          <w:rFonts w:asciiTheme="majorHAnsi" w:hAnsiTheme="majorHAnsi"/>
          <w:b/>
          <w:color w:val="1F497D"/>
          <w:sz w:val="36"/>
          <w:szCs w:val="36"/>
        </w:rPr>
      </w:pPr>
      <w:r w:rsidRPr="005D239B">
        <w:rPr>
          <w:rFonts w:asciiTheme="majorHAnsi" w:hAnsiTheme="majorHAnsi"/>
          <w:b/>
          <w:color w:val="1F497D"/>
          <w:sz w:val="36"/>
          <w:szCs w:val="36"/>
        </w:rPr>
        <w:t>PIANO DI RAFFORZAMENTO AMMINISTRATIVO (PRA)</w:t>
      </w:r>
    </w:p>
    <w:p w14:paraId="07014752" w14:textId="6974602F" w:rsidR="00284556" w:rsidRPr="005D239B" w:rsidRDefault="00284556" w:rsidP="005726A5">
      <w:pPr>
        <w:pBdr>
          <w:bottom w:val="single" w:sz="4" w:space="1" w:color="auto"/>
        </w:pBdr>
        <w:jc w:val="center"/>
        <w:outlineLvl w:val="0"/>
        <w:rPr>
          <w:rFonts w:asciiTheme="majorHAnsi" w:hAnsiTheme="majorHAnsi"/>
          <w:b/>
          <w:color w:val="1F497D"/>
          <w:sz w:val="36"/>
          <w:szCs w:val="36"/>
        </w:rPr>
      </w:pPr>
      <w:r w:rsidRPr="005D239B">
        <w:rPr>
          <w:rFonts w:asciiTheme="majorHAnsi" w:hAnsiTheme="majorHAnsi"/>
          <w:b/>
          <w:color w:val="1F497D"/>
          <w:sz w:val="36"/>
          <w:szCs w:val="36"/>
        </w:rPr>
        <w:t>DEL</w:t>
      </w:r>
      <w:r w:rsidR="00972CE6" w:rsidRPr="005D239B">
        <w:rPr>
          <w:rFonts w:asciiTheme="majorHAnsi" w:hAnsiTheme="majorHAnsi"/>
          <w:b/>
          <w:color w:val="1F497D"/>
          <w:sz w:val="36"/>
          <w:szCs w:val="36"/>
        </w:rPr>
        <w:t>LA REGIONE DEL VENETO</w:t>
      </w:r>
    </w:p>
    <w:p w14:paraId="65B75A7B" w14:textId="77777777" w:rsidR="006702E8" w:rsidRPr="005D239B" w:rsidRDefault="006702E8" w:rsidP="006702E8">
      <w:pPr>
        <w:rPr>
          <w:rFonts w:asciiTheme="majorHAnsi" w:hAnsiTheme="majorHAnsi" w:cs="Times New Roman"/>
          <w:b/>
          <w:sz w:val="24"/>
          <w:szCs w:val="24"/>
        </w:rPr>
      </w:pPr>
    </w:p>
    <w:p w14:paraId="46170982" w14:textId="608F32DF" w:rsidR="00E50FA4" w:rsidRPr="005D239B" w:rsidRDefault="00621D2D" w:rsidP="005726A5">
      <w:pPr>
        <w:pBdr>
          <w:top w:val="single" w:sz="4" w:space="1" w:color="auto"/>
          <w:left w:val="single" w:sz="4" w:space="4" w:color="auto"/>
          <w:bottom w:val="single" w:sz="4" w:space="1" w:color="auto"/>
          <w:right w:val="single" w:sz="4" w:space="4" w:color="auto"/>
        </w:pBdr>
        <w:jc w:val="center"/>
        <w:outlineLvl w:val="0"/>
        <w:rPr>
          <w:rFonts w:asciiTheme="majorHAnsi" w:hAnsiTheme="majorHAnsi" w:cs="Times New Roman"/>
          <w:b/>
          <w:color w:val="1F497D"/>
          <w:sz w:val="24"/>
          <w:szCs w:val="24"/>
        </w:rPr>
      </w:pPr>
      <w:r w:rsidRPr="005D239B">
        <w:rPr>
          <w:rFonts w:asciiTheme="majorHAnsi" w:hAnsiTheme="majorHAnsi" w:cs="Times New Roman"/>
          <w:b/>
          <w:color w:val="1F497D"/>
          <w:sz w:val="24"/>
          <w:szCs w:val="24"/>
        </w:rPr>
        <w:t>Relazione qualitativa al 2</w:t>
      </w:r>
      <w:r w:rsidR="006114EA" w:rsidRPr="005D239B">
        <w:rPr>
          <w:rFonts w:asciiTheme="majorHAnsi" w:hAnsiTheme="majorHAnsi" w:cs="Times New Roman"/>
          <w:b/>
          <w:color w:val="1F497D"/>
          <w:sz w:val="24"/>
          <w:szCs w:val="24"/>
        </w:rPr>
        <w:t xml:space="preserve">° quadrimestre </w:t>
      </w:r>
      <w:r w:rsidRPr="005D239B">
        <w:rPr>
          <w:rFonts w:asciiTheme="majorHAnsi" w:hAnsiTheme="majorHAnsi" w:cs="Times New Roman"/>
          <w:b/>
          <w:color w:val="1F497D"/>
          <w:sz w:val="24"/>
          <w:szCs w:val="24"/>
        </w:rPr>
        <w:t xml:space="preserve">31 agosto 2016 </w:t>
      </w:r>
      <w:r w:rsidRPr="005D239B">
        <w:rPr>
          <w:rStyle w:val="Rimandonotaapidipagina"/>
          <w:rFonts w:asciiTheme="majorHAnsi" w:hAnsiTheme="majorHAnsi" w:cs="Times New Roman"/>
          <w:b/>
          <w:color w:val="1F497D"/>
          <w:sz w:val="24"/>
          <w:szCs w:val="24"/>
        </w:rPr>
        <w:footnoteReference w:id="1"/>
      </w:r>
    </w:p>
    <w:p w14:paraId="7CD49E7C" w14:textId="77777777" w:rsidR="00A51962" w:rsidRPr="005D239B" w:rsidRDefault="00A51962" w:rsidP="006702E8">
      <w:pPr>
        <w:tabs>
          <w:tab w:val="left" w:pos="1883"/>
        </w:tabs>
        <w:spacing w:after="120" w:line="240" w:lineRule="auto"/>
        <w:jc w:val="both"/>
        <w:rPr>
          <w:rFonts w:asciiTheme="majorHAnsi" w:hAnsiTheme="majorHAnsi" w:cs="Times New Roman"/>
          <w:b/>
          <w:sz w:val="24"/>
          <w:szCs w:val="24"/>
        </w:rPr>
      </w:pPr>
    </w:p>
    <w:p w14:paraId="03D0E839" w14:textId="23533FB2" w:rsidR="00E50FA4" w:rsidRPr="005D239B" w:rsidRDefault="001E288C" w:rsidP="005726A5">
      <w:pPr>
        <w:tabs>
          <w:tab w:val="left" w:pos="1883"/>
        </w:tabs>
        <w:spacing w:after="120" w:line="240" w:lineRule="auto"/>
        <w:jc w:val="both"/>
        <w:outlineLvl w:val="0"/>
        <w:rPr>
          <w:rFonts w:asciiTheme="majorHAnsi" w:eastAsia="Calibri" w:hAnsiTheme="majorHAnsi" w:cs="Times New Roman"/>
          <w:b/>
          <w:sz w:val="24"/>
          <w:szCs w:val="24"/>
        </w:rPr>
      </w:pPr>
      <w:r w:rsidRPr="005D239B">
        <w:rPr>
          <w:rFonts w:asciiTheme="majorHAnsi" w:hAnsiTheme="majorHAnsi" w:cs="Times New Roman"/>
          <w:b/>
          <w:sz w:val="24"/>
          <w:szCs w:val="24"/>
        </w:rPr>
        <w:t>Introduzione</w:t>
      </w:r>
    </w:p>
    <w:p w14:paraId="02506F65" w14:textId="77777777" w:rsidR="008A5596" w:rsidRPr="005D239B" w:rsidRDefault="008A5596" w:rsidP="008A5596">
      <w:pPr>
        <w:spacing w:after="0" w:line="240" w:lineRule="auto"/>
        <w:rPr>
          <w:rFonts w:asciiTheme="majorHAnsi" w:eastAsia="Times New Roman" w:hAnsiTheme="majorHAnsi" w:cs="Times New Roman"/>
          <w:b/>
          <w:sz w:val="24"/>
          <w:szCs w:val="24"/>
        </w:rPr>
      </w:pPr>
    </w:p>
    <w:p w14:paraId="1C3AE67D" w14:textId="0A5059A9" w:rsidR="008A5596" w:rsidRPr="005D239B" w:rsidRDefault="008A5596" w:rsidP="008A5596">
      <w:pPr>
        <w:spacing w:after="0" w:line="240" w:lineRule="auto"/>
        <w:jc w:val="both"/>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Il presente report dà conto dello stato di av</w:t>
      </w:r>
      <w:r w:rsidR="00844655" w:rsidRPr="005D239B">
        <w:rPr>
          <w:rFonts w:asciiTheme="majorHAnsi" w:eastAsia="Times New Roman" w:hAnsiTheme="majorHAnsi" w:cs="Times New Roman"/>
          <w:sz w:val="24"/>
          <w:szCs w:val="24"/>
        </w:rPr>
        <w:t>anzamento degli interventi al 31</w:t>
      </w:r>
      <w:r w:rsidRPr="005D239B">
        <w:rPr>
          <w:rFonts w:asciiTheme="majorHAnsi" w:eastAsia="Times New Roman" w:hAnsiTheme="majorHAnsi" w:cs="Times New Roman"/>
          <w:sz w:val="24"/>
          <w:szCs w:val="24"/>
        </w:rPr>
        <w:t xml:space="preserve"> a</w:t>
      </w:r>
      <w:r w:rsidR="00844655" w:rsidRPr="005D239B">
        <w:rPr>
          <w:rFonts w:asciiTheme="majorHAnsi" w:eastAsia="Times New Roman" w:hAnsiTheme="majorHAnsi" w:cs="Times New Roman"/>
          <w:sz w:val="24"/>
          <w:szCs w:val="24"/>
        </w:rPr>
        <w:t>gosto</w:t>
      </w:r>
      <w:r w:rsidR="00944255">
        <w:rPr>
          <w:rFonts w:asciiTheme="majorHAnsi" w:eastAsia="Times New Roman" w:hAnsiTheme="majorHAnsi" w:cs="Times New Roman"/>
          <w:sz w:val="24"/>
          <w:szCs w:val="24"/>
        </w:rPr>
        <w:t xml:space="preserve"> 2016</w:t>
      </w:r>
      <w:r w:rsidRPr="005D239B">
        <w:rPr>
          <w:rFonts w:asciiTheme="majorHAnsi" w:eastAsia="Times New Roman" w:hAnsiTheme="majorHAnsi" w:cs="Times New Roman"/>
          <w:sz w:val="24"/>
          <w:szCs w:val="24"/>
        </w:rPr>
        <w:t>.</w:t>
      </w:r>
      <w:r w:rsidR="00844655" w:rsidRPr="005D239B">
        <w:rPr>
          <w:rFonts w:asciiTheme="majorHAnsi" w:eastAsia="Times New Roman" w:hAnsiTheme="majorHAnsi" w:cs="Times New Roman"/>
          <w:sz w:val="24"/>
          <w:szCs w:val="24"/>
        </w:rPr>
        <w:t xml:space="preserve"> </w:t>
      </w:r>
      <w:r w:rsidRPr="005D239B">
        <w:rPr>
          <w:rFonts w:asciiTheme="majorHAnsi" w:eastAsia="Times New Roman" w:hAnsiTheme="majorHAnsi" w:cs="Times New Roman"/>
          <w:sz w:val="24"/>
          <w:szCs w:val="24"/>
        </w:rPr>
        <w:t>Gli interventi sono richiamati utilizzando il numero sequenziale che li identifica in modo univoco nella scheda 1 “Monitoraggio interventi PRA”.</w:t>
      </w:r>
    </w:p>
    <w:p w14:paraId="70C33F6A" w14:textId="477CC998" w:rsidR="008A5596" w:rsidRPr="005D239B" w:rsidRDefault="008A5596" w:rsidP="008A5596">
      <w:pPr>
        <w:spacing w:after="0" w:line="240" w:lineRule="auto"/>
        <w:jc w:val="both"/>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Il PRA del Veneto è stato a</w:t>
      </w:r>
      <w:r w:rsidR="00BB38C3" w:rsidRPr="005D239B">
        <w:rPr>
          <w:rFonts w:asciiTheme="majorHAnsi" w:eastAsia="Times New Roman" w:hAnsiTheme="majorHAnsi" w:cs="Times New Roman"/>
          <w:sz w:val="24"/>
          <w:szCs w:val="24"/>
        </w:rPr>
        <w:t>dottato dall</w:t>
      </w:r>
      <w:r w:rsidRPr="005D239B">
        <w:rPr>
          <w:rFonts w:asciiTheme="majorHAnsi" w:eastAsia="Times New Roman" w:hAnsiTheme="majorHAnsi" w:cs="Times New Roman"/>
          <w:sz w:val="24"/>
          <w:szCs w:val="24"/>
        </w:rPr>
        <w:t>a Giunta regionale</w:t>
      </w:r>
      <w:r w:rsidR="00AF516A">
        <w:rPr>
          <w:rFonts w:asciiTheme="majorHAnsi" w:eastAsia="Times New Roman" w:hAnsiTheme="majorHAnsi" w:cs="Times New Roman"/>
          <w:sz w:val="24"/>
          <w:szCs w:val="24"/>
        </w:rPr>
        <w:t xml:space="preserve"> con DGR n. 839/2015 e con DGR n. 1683/</w:t>
      </w:r>
      <w:r w:rsidR="00AF516A" w:rsidRPr="005D239B">
        <w:rPr>
          <w:rFonts w:asciiTheme="majorHAnsi" w:eastAsia="Times New Roman" w:hAnsiTheme="majorHAnsi" w:cs="Times New Roman"/>
          <w:sz w:val="24"/>
          <w:szCs w:val="24"/>
        </w:rPr>
        <w:t>2015</w:t>
      </w:r>
      <w:r w:rsidRPr="005D239B">
        <w:rPr>
          <w:rFonts w:asciiTheme="majorHAnsi" w:eastAsia="Times New Roman" w:hAnsiTheme="majorHAnsi" w:cs="Times New Roman"/>
          <w:sz w:val="24"/>
          <w:szCs w:val="24"/>
        </w:rPr>
        <w:t xml:space="preserve"> </w:t>
      </w:r>
      <w:r w:rsidR="00AF516A">
        <w:rPr>
          <w:rFonts w:asciiTheme="majorHAnsi" w:eastAsia="Times New Roman" w:hAnsiTheme="majorHAnsi" w:cs="Times New Roman"/>
          <w:sz w:val="24"/>
          <w:szCs w:val="24"/>
        </w:rPr>
        <w:t>sono stati istituiti i</w:t>
      </w:r>
      <w:r w:rsidRPr="005D239B">
        <w:rPr>
          <w:rFonts w:asciiTheme="majorHAnsi" w:eastAsia="Times New Roman" w:hAnsiTheme="majorHAnsi" w:cs="Times New Roman"/>
          <w:sz w:val="24"/>
          <w:szCs w:val="24"/>
        </w:rPr>
        <w:t>l Comitato di indirizzo per l’attuazione del PRA e la Segreteria tecnica.</w:t>
      </w:r>
    </w:p>
    <w:p w14:paraId="25A0B173" w14:textId="77777777" w:rsidR="00621D2D" w:rsidRDefault="00621D2D" w:rsidP="00621D2D">
      <w:pPr>
        <w:spacing w:after="120" w:line="240" w:lineRule="auto"/>
        <w:jc w:val="both"/>
        <w:outlineLvl w:val="0"/>
        <w:rPr>
          <w:rFonts w:asciiTheme="majorHAnsi" w:eastAsia="Calibri" w:hAnsiTheme="majorHAnsi" w:cs="Times New Roman"/>
          <w:b/>
          <w:sz w:val="24"/>
          <w:szCs w:val="24"/>
          <w:u w:val="single"/>
        </w:rPr>
      </w:pPr>
    </w:p>
    <w:p w14:paraId="438F01AC" w14:textId="77777777" w:rsidR="00A935AC" w:rsidRPr="005D239B" w:rsidRDefault="00A935AC" w:rsidP="00621D2D">
      <w:pPr>
        <w:spacing w:after="120" w:line="240" w:lineRule="auto"/>
        <w:jc w:val="both"/>
        <w:outlineLvl w:val="0"/>
        <w:rPr>
          <w:rFonts w:asciiTheme="majorHAnsi" w:eastAsia="Calibri" w:hAnsiTheme="majorHAnsi" w:cs="Times New Roman"/>
          <w:b/>
          <w:sz w:val="24"/>
          <w:szCs w:val="24"/>
          <w:u w:val="single"/>
        </w:rPr>
      </w:pPr>
    </w:p>
    <w:p w14:paraId="679974A2" w14:textId="5644AA1A" w:rsidR="00621D2D" w:rsidRPr="005D239B" w:rsidRDefault="00621D2D" w:rsidP="00621D2D">
      <w:pPr>
        <w:spacing w:after="120" w:line="240" w:lineRule="auto"/>
        <w:jc w:val="both"/>
        <w:outlineLvl w:val="0"/>
        <w:rPr>
          <w:rFonts w:asciiTheme="majorHAnsi" w:eastAsia="Calibri" w:hAnsiTheme="majorHAnsi" w:cs="Times New Roman"/>
          <w:b/>
          <w:sz w:val="24"/>
          <w:szCs w:val="24"/>
          <w:u w:val="single"/>
        </w:rPr>
      </w:pPr>
      <w:r w:rsidRPr="005D239B">
        <w:rPr>
          <w:rFonts w:asciiTheme="majorHAnsi" w:eastAsia="Calibri" w:hAnsiTheme="majorHAnsi" w:cs="Times New Roman"/>
          <w:b/>
          <w:sz w:val="24"/>
          <w:szCs w:val="24"/>
          <w:u w:val="single"/>
        </w:rPr>
        <w:t>Sezione 1 - Avanzamento degli interventi di rafforzamento amministrativo;</w:t>
      </w:r>
    </w:p>
    <w:p w14:paraId="7A560053" w14:textId="49FA24F0" w:rsidR="008A5596" w:rsidRPr="005D239B" w:rsidRDefault="008A5596" w:rsidP="008A5596">
      <w:pPr>
        <w:spacing w:after="0" w:line="240" w:lineRule="auto"/>
        <w:jc w:val="both"/>
        <w:rPr>
          <w:rFonts w:asciiTheme="majorHAnsi" w:hAnsiTheme="majorHAnsi" w:cs="Times New Roman"/>
          <w:position w:val="1"/>
          <w:sz w:val="24"/>
          <w:szCs w:val="24"/>
        </w:rPr>
      </w:pPr>
    </w:p>
    <w:p w14:paraId="697DAD3A" w14:textId="340AD7E3" w:rsidR="003420BA" w:rsidRPr="005D239B" w:rsidRDefault="00365748" w:rsidP="003420BA">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w:t>
      </w:r>
      <w:r w:rsidR="003420BA" w:rsidRPr="005D239B">
        <w:rPr>
          <w:rFonts w:asciiTheme="majorHAnsi" w:eastAsia="Times New Roman" w:hAnsiTheme="majorHAnsi" w:cs="Times New Roman"/>
          <w:sz w:val="24"/>
          <w:szCs w:val="24"/>
        </w:rPr>
        <w:t>tato di avanzamento degli inte</w:t>
      </w:r>
      <w:r w:rsidR="0050076B" w:rsidRPr="005D239B">
        <w:rPr>
          <w:rFonts w:asciiTheme="majorHAnsi" w:eastAsia="Times New Roman" w:hAnsiTheme="majorHAnsi" w:cs="Times New Roman"/>
          <w:sz w:val="24"/>
          <w:szCs w:val="24"/>
        </w:rPr>
        <w:t>r</w:t>
      </w:r>
      <w:r w:rsidR="00E11326" w:rsidRPr="005D239B">
        <w:rPr>
          <w:rFonts w:asciiTheme="majorHAnsi" w:eastAsia="Times New Roman" w:hAnsiTheme="majorHAnsi" w:cs="Times New Roman"/>
          <w:sz w:val="24"/>
          <w:szCs w:val="24"/>
        </w:rPr>
        <w:t>venti al 31.08</w:t>
      </w:r>
      <w:r>
        <w:rPr>
          <w:rFonts w:asciiTheme="majorHAnsi" w:eastAsia="Times New Roman" w:hAnsiTheme="majorHAnsi" w:cs="Times New Roman"/>
          <w:sz w:val="24"/>
          <w:szCs w:val="24"/>
        </w:rPr>
        <w:t>.2016</w:t>
      </w:r>
      <w:r w:rsidR="003420BA" w:rsidRPr="005D239B">
        <w:rPr>
          <w:rFonts w:asciiTheme="majorHAnsi" w:eastAsia="Times New Roman" w:hAnsiTheme="majorHAnsi" w:cs="Times New Roman"/>
          <w:sz w:val="24"/>
          <w:szCs w:val="24"/>
        </w:rPr>
        <w:t>:</w:t>
      </w:r>
    </w:p>
    <w:p w14:paraId="156B7FDC" w14:textId="77777777" w:rsidR="003420BA" w:rsidRPr="005D239B" w:rsidRDefault="003420BA" w:rsidP="003420BA">
      <w:pPr>
        <w:spacing w:after="0" w:line="240" w:lineRule="auto"/>
        <w:jc w:val="both"/>
        <w:rPr>
          <w:rFonts w:asciiTheme="majorHAnsi" w:eastAsia="Times New Roman" w:hAnsiTheme="maj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2208"/>
      </w:tblGrid>
      <w:tr w:rsidR="00AF516A" w:rsidRPr="005D239B" w14:paraId="753D049F" w14:textId="77777777" w:rsidTr="00365748">
        <w:tc>
          <w:tcPr>
            <w:tcW w:w="2802" w:type="dxa"/>
            <w:shd w:val="clear" w:color="auto" w:fill="auto"/>
          </w:tcPr>
          <w:p w14:paraId="5814E314"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Paragrafo PRA</w:t>
            </w:r>
          </w:p>
        </w:tc>
        <w:tc>
          <w:tcPr>
            <w:tcW w:w="2268" w:type="dxa"/>
            <w:shd w:val="clear" w:color="auto" w:fill="auto"/>
          </w:tcPr>
          <w:p w14:paraId="34584D09"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Completati</w:t>
            </w:r>
          </w:p>
          <w:p w14:paraId="3A9012C9"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p>
        </w:tc>
        <w:tc>
          <w:tcPr>
            <w:tcW w:w="2208" w:type="dxa"/>
            <w:shd w:val="clear" w:color="auto" w:fill="auto"/>
          </w:tcPr>
          <w:p w14:paraId="442D6B8E"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In fase di implementazione</w:t>
            </w:r>
          </w:p>
          <w:p w14:paraId="1D840BD1"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p>
        </w:tc>
      </w:tr>
      <w:tr w:rsidR="00AF516A" w:rsidRPr="005D239B" w14:paraId="5C4AE29C" w14:textId="77777777" w:rsidTr="00365748">
        <w:tc>
          <w:tcPr>
            <w:tcW w:w="2802" w:type="dxa"/>
            <w:shd w:val="clear" w:color="auto" w:fill="auto"/>
          </w:tcPr>
          <w:p w14:paraId="40E742A5"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6.1</w:t>
            </w:r>
          </w:p>
          <w:p w14:paraId="02F48997"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p>
        </w:tc>
        <w:tc>
          <w:tcPr>
            <w:tcW w:w="2268" w:type="dxa"/>
            <w:shd w:val="clear" w:color="auto" w:fill="auto"/>
          </w:tcPr>
          <w:p w14:paraId="7A4F0A91" w14:textId="46568E00" w:rsidR="00AF516A" w:rsidRPr="005D239B" w:rsidRDefault="00AF516A" w:rsidP="00BE31E1">
            <w:pPr>
              <w:spacing w:after="0" w:line="240" w:lineRule="auto"/>
              <w:jc w:val="center"/>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8</w:t>
            </w:r>
          </w:p>
        </w:tc>
        <w:tc>
          <w:tcPr>
            <w:tcW w:w="2208" w:type="dxa"/>
            <w:shd w:val="clear" w:color="auto" w:fill="auto"/>
          </w:tcPr>
          <w:p w14:paraId="45555D08" w14:textId="681BD0D2" w:rsidR="00AF516A" w:rsidRPr="005D239B" w:rsidRDefault="00AF516A" w:rsidP="00BE31E1">
            <w:pPr>
              <w:spacing w:after="0" w:line="240" w:lineRule="auto"/>
              <w:jc w:val="center"/>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2</w:t>
            </w:r>
          </w:p>
        </w:tc>
      </w:tr>
      <w:tr w:rsidR="00AF516A" w:rsidRPr="005D239B" w14:paraId="5DA3B6BA" w14:textId="77777777" w:rsidTr="00365748">
        <w:tc>
          <w:tcPr>
            <w:tcW w:w="2802" w:type="dxa"/>
            <w:shd w:val="clear" w:color="auto" w:fill="auto"/>
          </w:tcPr>
          <w:p w14:paraId="3FE470FC"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6.2</w:t>
            </w:r>
          </w:p>
          <w:p w14:paraId="39CF461E"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p>
        </w:tc>
        <w:tc>
          <w:tcPr>
            <w:tcW w:w="2268" w:type="dxa"/>
            <w:shd w:val="clear" w:color="auto" w:fill="auto"/>
          </w:tcPr>
          <w:p w14:paraId="5FC1CD2E" w14:textId="77777777" w:rsidR="00AF516A" w:rsidRPr="005D239B" w:rsidRDefault="00AF516A" w:rsidP="00BE31E1">
            <w:pPr>
              <w:spacing w:after="0" w:line="240" w:lineRule="auto"/>
              <w:jc w:val="center"/>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1</w:t>
            </w:r>
          </w:p>
        </w:tc>
        <w:tc>
          <w:tcPr>
            <w:tcW w:w="2208" w:type="dxa"/>
            <w:shd w:val="clear" w:color="auto" w:fill="auto"/>
          </w:tcPr>
          <w:p w14:paraId="28E94736" w14:textId="77777777" w:rsidR="00AF516A" w:rsidRPr="005D239B" w:rsidRDefault="00AF516A" w:rsidP="00BE31E1">
            <w:pPr>
              <w:spacing w:after="0" w:line="240" w:lineRule="auto"/>
              <w:jc w:val="center"/>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2</w:t>
            </w:r>
          </w:p>
        </w:tc>
      </w:tr>
      <w:tr w:rsidR="00AF516A" w:rsidRPr="005D239B" w14:paraId="367247D9" w14:textId="77777777" w:rsidTr="00365748">
        <w:tc>
          <w:tcPr>
            <w:tcW w:w="2802" w:type="dxa"/>
            <w:shd w:val="clear" w:color="auto" w:fill="auto"/>
          </w:tcPr>
          <w:p w14:paraId="6CA5F3BB"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6.3</w:t>
            </w:r>
          </w:p>
          <w:p w14:paraId="358437EF"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p>
        </w:tc>
        <w:tc>
          <w:tcPr>
            <w:tcW w:w="2268" w:type="dxa"/>
            <w:shd w:val="clear" w:color="auto" w:fill="auto"/>
          </w:tcPr>
          <w:p w14:paraId="2C628DFD" w14:textId="77777777" w:rsidR="00AF516A" w:rsidRPr="005D239B" w:rsidRDefault="00AF516A" w:rsidP="00BE31E1">
            <w:pPr>
              <w:spacing w:after="0" w:line="240" w:lineRule="auto"/>
              <w:jc w:val="center"/>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2</w:t>
            </w:r>
          </w:p>
        </w:tc>
        <w:tc>
          <w:tcPr>
            <w:tcW w:w="2208" w:type="dxa"/>
            <w:shd w:val="clear" w:color="auto" w:fill="auto"/>
          </w:tcPr>
          <w:p w14:paraId="5BEDE54C" w14:textId="77777777" w:rsidR="00AF516A" w:rsidRPr="005D239B" w:rsidRDefault="00AF516A" w:rsidP="00BE31E1">
            <w:pPr>
              <w:spacing w:after="0" w:line="240" w:lineRule="auto"/>
              <w:jc w:val="center"/>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5</w:t>
            </w:r>
          </w:p>
        </w:tc>
      </w:tr>
      <w:tr w:rsidR="00AF516A" w:rsidRPr="005D239B" w14:paraId="456FEECC" w14:textId="77777777" w:rsidTr="00365748">
        <w:trPr>
          <w:trHeight w:val="612"/>
        </w:trPr>
        <w:tc>
          <w:tcPr>
            <w:tcW w:w="2802" w:type="dxa"/>
            <w:shd w:val="clear" w:color="auto" w:fill="auto"/>
          </w:tcPr>
          <w:p w14:paraId="593B1BE2"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p>
          <w:p w14:paraId="4BA994F4" w14:textId="77777777" w:rsidR="00AF516A" w:rsidRPr="005D239B" w:rsidRDefault="00AF516A" w:rsidP="00BE31E1">
            <w:pPr>
              <w:spacing w:after="0" w:line="240" w:lineRule="auto"/>
              <w:jc w:val="center"/>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Totale</w:t>
            </w:r>
          </w:p>
        </w:tc>
        <w:tc>
          <w:tcPr>
            <w:tcW w:w="2268" w:type="dxa"/>
            <w:shd w:val="clear" w:color="auto" w:fill="auto"/>
          </w:tcPr>
          <w:p w14:paraId="43C4250A" w14:textId="77777777" w:rsidR="00AF516A" w:rsidRPr="005D239B" w:rsidRDefault="00AF516A" w:rsidP="00BE31E1">
            <w:pPr>
              <w:spacing w:after="0" w:line="240" w:lineRule="auto"/>
              <w:jc w:val="center"/>
              <w:rPr>
                <w:rFonts w:asciiTheme="majorHAnsi" w:eastAsia="Times New Roman" w:hAnsiTheme="majorHAnsi" w:cs="Times New Roman"/>
                <w:sz w:val="24"/>
                <w:szCs w:val="24"/>
              </w:rPr>
            </w:pPr>
          </w:p>
          <w:p w14:paraId="56CDC6A6" w14:textId="03D6F800" w:rsidR="00AF516A" w:rsidRPr="005D239B" w:rsidRDefault="00AF516A" w:rsidP="00BE31E1">
            <w:pPr>
              <w:spacing w:after="0" w:line="240" w:lineRule="auto"/>
              <w:jc w:val="center"/>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11</w:t>
            </w:r>
          </w:p>
        </w:tc>
        <w:tc>
          <w:tcPr>
            <w:tcW w:w="2208" w:type="dxa"/>
            <w:shd w:val="clear" w:color="auto" w:fill="auto"/>
          </w:tcPr>
          <w:p w14:paraId="2F4ABC3A" w14:textId="77777777" w:rsidR="00AF516A" w:rsidRPr="005D239B" w:rsidRDefault="00AF516A" w:rsidP="00BE31E1">
            <w:pPr>
              <w:spacing w:after="0" w:line="240" w:lineRule="auto"/>
              <w:jc w:val="center"/>
              <w:rPr>
                <w:rFonts w:asciiTheme="majorHAnsi" w:eastAsia="Times New Roman" w:hAnsiTheme="majorHAnsi" w:cs="Times New Roman"/>
                <w:sz w:val="24"/>
                <w:szCs w:val="24"/>
              </w:rPr>
            </w:pPr>
          </w:p>
          <w:p w14:paraId="6123C274" w14:textId="63FA3A70" w:rsidR="00AF516A" w:rsidRPr="005D239B" w:rsidRDefault="00AF516A" w:rsidP="00BE31E1">
            <w:pPr>
              <w:spacing w:after="0" w:line="240" w:lineRule="auto"/>
              <w:jc w:val="center"/>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9</w:t>
            </w:r>
          </w:p>
        </w:tc>
      </w:tr>
    </w:tbl>
    <w:p w14:paraId="7228D62F" w14:textId="77777777" w:rsidR="003420BA" w:rsidRPr="005D239B" w:rsidRDefault="003420BA" w:rsidP="003420BA">
      <w:pPr>
        <w:spacing w:after="0" w:line="240" w:lineRule="auto"/>
        <w:jc w:val="center"/>
        <w:rPr>
          <w:rFonts w:asciiTheme="majorHAnsi" w:eastAsia="Times New Roman" w:hAnsiTheme="majorHAnsi" w:cs="Times New Roman"/>
          <w:sz w:val="24"/>
          <w:szCs w:val="24"/>
        </w:rPr>
      </w:pPr>
    </w:p>
    <w:p w14:paraId="58DC6AE8" w14:textId="77777777" w:rsidR="003420BA" w:rsidRPr="005D239B" w:rsidRDefault="003420BA" w:rsidP="003420BA">
      <w:pPr>
        <w:spacing w:after="0" w:line="240" w:lineRule="auto"/>
        <w:jc w:val="both"/>
        <w:rPr>
          <w:rFonts w:asciiTheme="majorHAnsi" w:eastAsia="Times New Roman" w:hAnsiTheme="majorHAnsi" w:cs="Times New Roman"/>
          <w:sz w:val="24"/>
          <w:szCs w:val="24"/>
        </w:rPr>
      </w:pPr>
    </w:p>
    <w:p w14:paraId="01D8619D" w14:textId="7116BF5E" w:rsidR="00095AFC" w:rsidRDefault="00095AFC">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14:paraId="50576830" w14:textId="3A0BC87A" w:rsidR="008A5596" w:rsidRPr="005D239B" w:rsidRDefault="008A5596" w:rsidP="008A5596">
      <w:pPr>
        <w:spacing w:after="0" w:line="240" w:lineRule="auto"/>
        <w:jc w:val="center"/>
        <w:rPr>
          <w:rFonts w:asciiTheme="majorHAnsi" w:eastAsia="Times New Roman" w:hAnsiTheme="majorHAnsi" w:cs="Times New Roman"/>
          <w:b/>
          <w:sz w:val="24"/>
          <w:szCs w:val="24"/>
        </w:rPr>
      </w:pPr>
      <w:r w:rsidRPr="005D239B">
        <w:rPr>
          <w:rFonts w:asciiTheme="majorHAnsi" w:hAnsiTheme="majorHAnsi" w:cs="Times New Roman"/>
          <w:b/>
          <w:bCs/>
          <w:sz w:val="24"/>
          <w:szCs w:val="24"/>
        </w:rPr>
        <w:lastRenderedPageBreak/>
        <w:t>Interventi di semplificazione legislativa e procedurale</w:t>
      </w:r>
      <w:r w:rsidR="001C672A">
        <w:rPr>
          <w:rFonts w:asciiTheme="majorHAnsi" w:hAnsiTheme="majorHAnsi" w:cs="Times New Roman"/>
          <w:b/>
          <w:bCs/>
          <w:sz w:val="24"/>
          <w:szCs w:val="24"/>
        </w:rPr>
        <w:t xml:space="preserve"> (</w:t>
      </w:r>
      <w:r w:rsidR="00095AFC">
        <w:rPr>
          <w:rFonts w:asciiTheme="majorHAnsi" w:eastAsia="Times New Roman" w:hAnsiTheme="majorHAnsi" w:cs="Times New Roman"/>
          <w:b/>
          <w:sz w:val="24"/>
          <w:szCs w:val="24"/>
        </w:rPr>
        <w:t>Par.</w:t>
      </w:r>
      <w:r w:rsidR="001C672A">
        <w:rPr>
          <w:rFonts w:asciiTheme="majorHAnsi" w:eastAsia="Times New Roman" w:hAnsiTheme="majorHAnsi" w:cs="Times New Roman"/>
          <w:b/>
          <w:sz w:val="24"/>
          <w:szCs w:val="24"/>
        </w:rPr>
        <w:t xml:space="preserve"> 6.1)</w:t>
      </w:r>
    </w:p>
    <w:p w14:paraId="0E1D8003" w14:textId="77777777" w:rsidR="00621D2D" w:rsidRPr="005D239B" w:rsidRDefault="00621D2D" w:rsidP="00A935AC">
      <w:pPr>
        <w:autoSpaceDE w:val="0"/>
        <w:autoSpaceDN w:val="0"/>
        <w:adjustRightInd w:val="0"/>
        <w:spacing w:after="0" w:line="240" w:lineRule="auto"/>
        <w:ind w:left="40" w:right="-20"/>
        <w:jc w:val="both"/>
        <w:rPr>
          <w:rFonts w:asciiTheme="majorHAnsi" w:hAnsiTheme="majorHAnsi" w:cs="Times New Roman"/>
          <w:position w:val="1"/>
          <w:sz w:val="24"/>
          <w:szCs w:val="24"/>
        </w:rPr>
      </w:pPr>
    </w:p>
    <w:p w14:paraId="1EFFC0F2" w14:textId="77777777" w:rsidR="008A5596" w:rsidRPr="00A935AC" w:rsidRDefault="008A5596" w:rsidP="00A935AC">
      <w:pPr>
        <w:spacing w:after="0" w:line="240" w:lineRule="auto"/>
        <w:jc w:val="both"/>
        <w:rPr>
          <w:rFonts w:asciiTheme="majorHAnsi" w:eastAsia="Times New Roman" w:hAnsiTheme="majorHAnsi" w:cs="Times New Roman"/>
          <w:b/>
          <w:sz w:val="24"/>
          <w:szCs w:val="24"/>
        </w:rPr>
      </w:pPr>
    </w:p>
    <w:p w14:paraId="5499D8BB" w14:textId="77777777" w:rsidR="008A5596" w:rsidRPr="005D239B" w:rsidRDefault="008A5596" w:rsidP="008A5596">
      <w:pPr>
        <w:spacing w:after="0" w:line="240" w:lineRule="auto"/>
        <w:jc w:val="both"/>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Intervento 2 Semplificazione delle procedure di gara</w:t>
      </w:r>
    </w:p>
    <w:p w14:paraId="487D61F2" w14:textId="00DE9885" w:rsidR="00E836F9" w:rsidRPr="005D239B" w:rsidRDefault="000813F8" w:rsidP="00E836F9">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Successivamente all’adozione</w:t>
      </w:r>
      <w:r w:rsidR="00E836F9" w:rsidRPr="005D239B">
        <w:rPr>
          <w:rFonts w:asciiTheme="majorHAnsi" w:eastAsia="Times New Roman" w:hAnsiTheme="majorHAnsi" w:cs="Times New Roman"/>
          <w:sz w:val="24"/>
          <w:szCs w:val="24"/>
        </w:rPr>
        <w:t xml:space="preserve"> </w:t>
      </w:r>
      <w:r w:rsidRPr="005D239B">
        <w:rPr>
          <w:rFonts w:asciiTheme="majorHAnsi" w:eastAsia="Times New Roman" w:hAnsiTheme="majorHAnsi" w:cs="Times New Roman"/>
          <w:sz w:val="24"/>
          <w:szCs w:val="24"/>
        </w:rPr>
        <w:t xml:space="preserve">del D. Lgs. n. 50/2016 </w:t>
      </w:r>
      <w:r w:rsidR="00E836F9" w:rsidRPr="005D239B">
        <w:rPr>
          <w:rFonts w:asciiTheme="majorHAnsi" w:eastAsia="Times New Roman" w:hAnsiTheme="majorHAnsi" w:cs="Times New Roman"/>
          <w:sz w:val="24"/>
          <w:szCs w:val="24"/>
        </w:rPr>
        <w:t>la Regione può assumere solo i</w:t>
      </w:r>
      <w:r w:rsidRPr="005D239B">
        <w:rPr>
          <w:rFonts w:asciiTheme="majorHAnsi" w:eastAsia="Times New Roman" w:hAnsiTheme="majorHAnsi" w:cs="Times New Roman"/>
          <w:sz w:val="24"/>
          <w:szCs w:val="24"/>
        </w:rPr>
        <w:t>ndicazioni operative</w:t>
      </w:r>
      <w:r w:rsidR="00E836F9" w:rsidRPr="005D239B">
        <w:rPr>
          <w:rFonts w:asciiTheme="majorHAnsi" w:eastAsia="Times New Roman" w:hAnsiTheme="majorHAnsi" w:cs="Times New Roman"/>
          <w:sz w:val="24"/>
          <w:szCs w:val="24"/>
        </w:rPr>
        <w:t xml:space="preserve">. </w:t>
      </w:r>
    </w:p>
    <w:p w14:paraId="5BE303F3" w14:textId="3C5B9B5E" w:rsidR="00E836F9" w:rsidRPr="005D239B" w:rsidRDefault="000813F8" w:rsidP="00E836F9">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In data 17 maggio 2016 la Giunta regionale ha</w:t>
      </w:r>
      <w:r w:rsidR="00E836F9" w:rsidRPr="005D239B">
        <w:rPr>
          <w:rFonts w:asciiTheme="majorHAnsi" w:eastAsia="Times New Roman" w:hAnsiTheme="majorHAnsi" w:cs="Times New Roman"/>
          <w:sz w:val="24"/>
          <w:szCs w:val="24"/>
        </w:rPr>
        <w:t xml:space="preserve"> avviat</w:t>
      </w:r>
      <w:r w:rsidRPr="005D239B">
        <w:rPr>
          <w:rFonts w:asciiTheme="majorHAnsi" w:eastAsia="Times New Roman" w:hAnsiTheme="majorHAnsi" w:cs="Times New Roman"/>
          <w:sz w:val="24"/>
          <w:szCs w:val="24"/>
        </w:rPr>
        <w:t>o</w:t>
      </w:r>
      <w:r w:rsidR="00E836F9" w:rsidRPr="005D239B">
        <w:rPr>
          <w:rFonts w:asciiTheme="majorHAnsi" w:eastAsia="Times New Roman" w:hAnsiTheme="majorHAnsi" w:cs="Times New Roman"/>
          <w:sz w:val="24"/>
          <w:szCs w:val="24"/>
        </w:rPr>
        <w:t xml:space="preserve"> la procedura per l’appr</w:t>
      </w:r>
      <w:r w:rsidRPr="005D239B">
        <w:rPr>
          <w:rFonts w:asciiTheme="majorHAnsi" w:eastAsia="Times New Roman" w:hAnsiTheme="majorHAnsi" w:cs="Times New Roman"/>
          <w:sz w:val="24"/>
          <w:szCs w:val="24"/>
        </w:rPr>
        <w:t>ovazione di una Legge Regionale</w:t>
      </w:r>
      <w:r w:rsidR="00E836F9" w:rsidRPr="005D239B">
        <w:rPr>
          <w:rFonts w:asciiTheme="majorHAnsi" w:eastAsia="Times New Roman" w:hAnsiTheme="majorHAnsi" w:cs="Times New Roman"/>
          <w:sz w:val="24"/>
          <w:szCs w:val="24"/>
        </w:rPr>
        <w:t>. Il pred</w:t>
      </w:r>
      <w:r w:rsidRPr="005D239B">
        <w:rPr>
          <w:rFonts w:asciiTheme="majorHAnsi" w:eastAsia="Times New Roman" w:hAnsiTheme="majorHAnsi" w:cs="Times New Roman"/>
          <w:sz w:val="24"/>
          <w:szCs w:val="24"/>
        </w:rPr>
        <w:t>etto disegno di legge</w:t>
      </w:r>
      <w:r w:rsidR="00E836F9" w:rsidRPr="005D239B">
        <w:rPr>
          <w:rFonts w:asciiTheme="majorHAnsi" w:eastAsia="Times New Roman" w:hAnsiTheme="majorHAnsi" w:cs="Times New Roman"/>
          <w:sz w:val="24"/>
          <w:szCs w:val="24"/>
        </w:rPr>
        <w:t xml:space="preserve"> </w:t>
      </w:r>
      <w:r w:rsidRPr="005D239B">
        <w:rPr>
          <w:rFonts w:asciiTheme="majorHAnsi" w:eastAsia="Times New Roman" w:hAnsiTheme="majorHAnsi" w:cs="Times New Roman"/>
          <w:sz w:val="24"/>
          <w:szCs w:val="24"/>
        </w:rPr>
        <w:t>(</w:t>
      </w:r>
      <w:r w:rsidR="00E836F9" w:rsidRPr="005D239B">
        <w:rPr>
          <w:rFonts w:asciiTheme="majorHAnsi" w:eastAsia="Times New Roman" w:hAnsiTheme="majorHAnsi" w:cs="Times New Roman"/>
          <w:sz w:val="24"/>
          <w:szCs w:val="24"/>
        </w:rPr>
        <w:t>PDL 144</w:t>
      </w:r>
      <w:r w:rsidRPr="005D239B">
        <w:rPr>
          <w:rFonts w:asciiTheme="majorHAnsi" w:eastAsia="Times New Roman" w:hAnsiTheme="majorHAnsi" w:cs="Times New Roman"/>
          <w:sz w:val="24"/>
          <w:szCs w:val="24"/>
        </w:rPr>
        <w:t>)</w:t>
      </w:r>
      <w:r w:rsidR="00E836F9" w:rsidRPr="005D239B">
        <w:rPr>
          <w:rFonts w:asciiTheme="majorHAnsi" w:eastAsia="Times New Roman" w:hAnsiTheme="majorHAnsi" w:cs="Times New Roman"/>
          <w:sz w:val="24"/>
          <w:szCs w:val="24"/>
        </w:rPr>
        <w:t xml:space="preserve"> </w:t>
      </w:r>
      <w:r w:rsidRPr="005D239B">
        <w:rPr>
          <w:rFonts w:asciiTheme="majorHAnsi" w:eastAsia="Times New Roman" w:hAnsiTheme="majorHAnsi" w:cs="Times New Roman"/>
          <w:sz w:val="24"/>
          <w:szCs w:val="24"/>
        </w:rPr>
        <w:t>è attualmente all’esame del C</w:t>
      </w:r>
      <w:r w:rsidR="00E836F9" w:rsidRPr="005D239B">
        <w:rPr>
          <w:rFonts w:asciiTheme="majorHAnsi" w:eastAsia="Times New Roman" w:hAnsiTheme="majorHAnsi" w:cs="Times New Roman"/>
          <w:sz w:val="24"/>
          <w:szCs w:val="24"/>
        </w:rPr>
        <w:t>onsi</w:t>
      </w:r>
      <w:r w:rsidRPr="005D239B">
        <w:rPr>
          <w:rFonts w:asciiTheme="majorHAnsi" w:eastAsia="Times New Roman" w:hAnsiTheme="majorHAnsi" w:cs="Times New Roman"/>
          <w:sz w:val="24"/>
          <w:szCs w:val="24"/>
        </w:rPr>
        <w:t>glio regionale</w:t>
      </w:r>
      <w:r w:rsidR="00E836F9" w:rsidRPr="005D239B">
        <w:rPr>
          <w:rFonts w:asciiTheme="majorHAnsi" w:eastAsia="Times New Roman" w:hAnsiTheme="majorHAnsi" w:cs="Times New Roman"/>
          <w:sz w:val="24"/>
          <w:szCs w:val="24"/>
        </w:rPr>
        <w:t xml:space="preserve"> e all’art. 29 reca una disposizione intesa ad autorizzare la Giunta regionale ad adottare specifici atti di indirizzo di carattere vincolante.</w:t>
      </w:r>
    </w:p>
    <w:p w14:paraId="2F1B64B5" w14:textId="77777777" w:rsidR="00E836F9" w:rsidRPr="005D239B" w:rsidRDefault="00E836F9" w:rsidP="00E836F9">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 xml:space="preserve">Nelle more del procedimento legislativo è stata avviata l'attività istruttoria preliminare per individuare i possibili contenuti operativi di semplificazione. </w:t>
      </w:r>
    </w:p>
    <w:p w14:paraId="761279F2" w14:textId="77777777" w:rsidR="008A5596" w:rsidRPr="005D239B" w:rsidRDefault="008A5596" w:rsidP="008A5596">
      <w:pPr>
        <w:spacing w:after="0" w:line="240" w:lineRule="auto"/>
        <w:jc w:val="both"/>
        <w:rPr>
          <w:rFonts w:asciiTheme="majorHAnsi" w:eastAsia="Times New Roman" w:hAnsiTheme="majorHAnsi" w:cs="Times New Roman"/>
          <w:sz w:val="24"/>
          <w:szCs w:val="24"/>
        </w:rPr>
      </w:pPr>
    </w:p>
    <w:p w14:paraId="4E625051" w14:textId="77777777" w:rsidR="00401691" w:rsidRPr="005D239B" w:rsidRDefault="00401691" w:rsidP="00401691">
      <w:pPr>
        <w:spacing w:after="0" w:line="240" w:lineRule="auto"/>
        <w:jc w:val="both"/>
        <w:rPr>
          <w:rFonts w:asciiTheme="majorHAnsi" w:hAnsiTheme="majorHAnsi" w:cs="Arial"/>
          <w:sz w:val="24"/>
          <w:szCs w:val="24"/>
        </w:rPr>
      </w:pPr>
    </w:p>
    <w:p w14:paraId="2CAFFFEE" w14:textId="77777777" w:rsidR="00401691" w:rsidRPr="005D239B" w:rsidRDefault="00401691" w:rsidP="00401691">
      <w:pPr>
        <w:spacing w:after="0" w:line="240" w:lineRule="auto"/>
        <w:jc w:val="both"/>
        <w:rPr>
          <w:rFonts w:asciiTheme="majorHAnsi" w:hAnsiTheme="majorHAnsi" w:cs="Arial"/>
          <w:b/>
          <w:sz w:val="24"/>
          <w:szCs w:val="24"/>
        </w:rPr>
      </w:pPr>
      <w:r w:rsidRPr="005D239B">
        <w:rPr>
          <w:rFonts w:asciiTheme="majorHAnsi" w:hAnsiTheme="majorHAnsi" w:cs="Arial"/>
          <w:b/>
          <w:sz w:val="24"/>
          <w:szCs w:val="24"/>
        </w:rPr>
        <w:t>Interventi 9 Stesura di linee guida di indirizzo procedurale del POR FESR di supporto alle SRA e ai beneficiari</w:t>
      </w:r>
    </w:p>
    <w:p w14:paraId="76FA1264" w14:textId="58861C8B" w:rsidR="00401691" w:rsidRPr="005D239B" w:rsidRDefault="00401691" w:rsidP="0040169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Arial"/>
          <w:sz w:val="24"/>
          <w:szCs w:val="24"/>
        </w:rPr>
      </w:pPr>
      <w:r w:rsidRPr="005D239B">
        <w:rPr>
          <w:rFonts w:asciiTheme="majorHAnsi" w:hAnsiTheme="majorHAnsi" w:cs="Arial"/>
          <w:sz w:val="24"/>
          <w:szCs w:val="24"/>
        </w:rPr>
        <w:t>Il rit</w:t>
      </w:r>
      <w:r w:rsidR="0040643E">
        <w:rPr>
          <w:rFonts w:asciiTheme="majorHAnsi" w:hAnsiTheme="majorHAnsi" w:cs="Arial"/>
          <w:sz w:val="24"/>
          <w:szCs w:val="24"/>
        </w:rPr>
        <w:t>ardo nell’approvazione del POR</w:t>
      </w:r>
      <w:r w:rsidRPr="005D239B">
        <w:rPr>
          <w:rFonts w:asciiTheme="majorHAnsi" w:hAnsiTheme="majorHAnsi" w:cs="Arial"/>
          <w:sz w:val="24"/>
          <w:szCs w:val="24"/>
        </w:rPr>
        <w:t xml:space="preserve"> ha causato il protrarsi di tutte le attività preparatorie e accompagnatorie dell’attuazione, concentrando lo sforzo nell’avvio delle azioni e in particolare nell’emanazione dei bandi di selezione. </w:t>
      </w:r>
    </w:p>
    <w:p w14:paraId="72A08AB9" w14:textId="09858A4A" w:rsidR="00401691" w:rsidRPr="005D239B" w:rsidRDefault="004005B3" w:rsidP="0040169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Arial"/>
          <w:sz w:val="24"/>
          <w:szCs w:val="24"/>
        </w:rPr>
      </w:pPr>
      <w:r>
        <w:rPr>
          <w:rFonts w:asciiTheme="majorHAnsi" w:hAnsiTheme="majorHAnsi" w:cs="Arial"/>
          <w:sz w:val="24"/>
          <w:szCs w:val="24"/>
        </w:rPr>
        <w:t xml:space="preserve">Per questo si è ritenuto </w:t>
      </w:r>
      <w:r w:rsidR="00401691" w:rsidRPr="005D239B">
        <w:rPr>
          <w:rFonts w:asciiTheme="majorHAnsi" w:hAnsiTheme="majorHAnsi" w:cs="Arial"/>
          <w:sz w:val="24"/>
          <w:szCs w:val="24"/>
        </w:rPr>
        <w:t xml:space="preserve">di procedere per gradi e documenti parziali, anziché produrre un documento completo di Linee Guida, che </w:t>
      </w:r>
      <w:r w:rsidR="00401691" w:rsidRPr="005D239B">
        <w:rPr>
          <w:rFonts w:asciiTheme="majorHAnsi" w:hAnsiTheme="majorHAnsi" w:cs="Arial"/>
          <w:b/>
          <w:sz w:val="24"/>
          <w:szCs w:val="24"/>
        </w:rPr>
        <w:t>verrà prodotto entro il 2016</w:t>
      </w:r>
      <w:r w:rsidR="00401691" w:rsidRPr="005D239B">
        <w:rPr>
          <w:rFonts w:asciiTheme="majorHAnsi" w:hAnsiTheme="majorHAnsi" w:cs="Arial"/>
          <w:sz w:val="24"/>
          <w:szCs w:val="24"/>
        </w:rPr>
        <w:t>, quando saranno definite le fasi di istruttoria e quella di rendicontazione, dopo quella di presentazione della domanda che è già sostanzialmente completata al 30 aprile 2016.</w:t>
      </w:r>
    </w:p>
    <w:p w14:paraId="13F6D9EA" w14:textId="122C12C9" w:rsidR="00401691" w:rsidRPr="005D239B" w:rsidRDefault="001C672A" w:rsidP="0040169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Arial"/>
          <w:sz w:val="24"/>
          <w:szCs w:val="24"/>
        </w:rPr>
      </w:pPr>
      <w:r>
        <w:rPr>
          <w:rFonts w:asciiTheme="majorHAnsi" w:hAnsiTheme="majorHAnsi" w:cs="Arial"/>
          <w:sz w:val="24"/>
          <w:szCs w:val="24"/>
        </w:rPr>
        <w:t>E’ stato</w:t>
      </w:r>
      <w:r w:rsidR="00401691" w:rsidRPr="005D239B">
        <w:rPr>
          <w:rFonts w:asciiTheme="majorHAnsi" w:hAnsiTheme="majorHAnsi" w:cs="Arial"/>
          <w:sz w:val="24"/>
          <w:szCs w:val="24"/>
        </w:rPr>
        <w:t xml:space="preserve"> prodotto il modello di stesura del Bando, con relative Linee guida e </w:t>
      </w:r>
      <w:r w:rsidR="00401691" w:rsidRPr="005D239B">
        <w:rPr>
          <w:rFonts w:asciiTheme="majorHAnsi" w:hAnsiTheme="majorHAnsi" w:cs="Arial"/>
          <w:i/>
          <w:sz w:val="24"/>
          <w:szCs w:val="24"/>
        </w:rPr>
        <w:t>check list</w:t>
      </w:r>
      <w:r w:rsidR="00401691" w:rsidRPr="005D239B">
        <w:rPr>
          <w:rFonts w:asciiTheme="majorHAnsi" w:hAnsiTheme="majorHAnsi" w:cs="Arial"/>
          <w:sz w:val="24"/>
          <w:szCs w:val="24"/>
        </w:rPr>
        <w:t xml:space="preserve"> per l’autovalutazion</w:t>
      </w:r>
      <w:r>
        <w:rPr>
          <w:rFonts w:asciiTheme="majorHAnsi" w:hAnsiTheme="majorHAnsi" w:cs="Arial"/>
          <w:sz w:val="24"/>
          <w:szCs w:val="24"/>
        </w:rPr>
        <w:t>e, e il modello di DGR</w:t>
      </w:r>
      <w:r w:rsidR="00401691" w:rsidRPr="005D239B">
        <w:rPr>
          <w:rFonts w:asciiTheme="majorHAnsi" w:hAnsiTheme="majorHAnsi" w:cs="Arial"/>
          <w:sz w:val="24"/>
          <w:szCs w:val="24"/>
        </w:rPr>
        <w:t xml:space="preserve"> di approvazione del bando. Sono state anche predisposte le check list di istruttoria delle domande di contributo per i bandi a favore delle imprese (Asse 1 e Asse 3).</w:t>
      </w:r>
    </w:p>
    <w:p w14:paraId="00129F7B" w14:textId="300235F5" w:rsidR="00401691" w:rsidRPr="005D239B" w:rsidRDefault="00AF516A" w:rsidP="0040169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Arial"/>
          <w:sz w:val="24"/>
          <w:szCs w:val="24"/>
        </w:rPr>
      </w:pPr>
      <w:r>
        <w:rPr>
          <w:rFonts w:asciiTheme="majorHAnsi" w:hAnsiTheme="majorHAnsi" w:cs="Arial"/>
          <w:sz w:val="24"/>
          <w:szCs w:val="24"/>
        </w:rPr>
        <w:t>Sono stati</w:t>
      </w:r>
      <w:r w:rsidR="00401691" w:rsidRPr="005D239B">
        <w:rPr>
          <w:rFonts w:asciiTheme="majorHAnsi" w:hAnsiTheme="majorHAnsi" w:cs="Arial"/>
          <w:sz w:val="24"/>
          <w:szCs w:val="24"/>
        </w:rPr>
        <w:t xml:space="preserve"> predisposti anche il “Manuale d’uso del logo e dell’immagine coordinata”, le “Linee guida per i beneficiari sulle responsabilità in materia di informazione e di comunicazione” e la “Guida al programma operativo regionale (POR)”.</w:t>
      </w:r>
    </w:p>
    <w:p w14:paraId="0544B27E" w14:textId="77777777" w:rsidR="00401691" w:rsidRPr="005D239B" w:rsidRDefault="00401691" w:rsidP="0040169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Arial"/>
          <w:sz w:val="24"/>
          <w:szCs w:val="24"/>
        </w:rPr>
      </w:pPr>
      <w:r w:rsidRPr="005D239B">
        <w:rPr>
          <w:rFonts w:asciiTheme="majorHAnsi" w:hAnsiTheme="majorHAnsi" w:cs="Arial"/>
          <w:sz w:val="24"/>
          <w:szCs w:val="24"/>
        </w:rPr>
        <w:t xml:space="preserve">Per i beneficiari, sono state prodotte le Linee Guida per l’accreditamento al sistema informativo unitario (SIU) e per la compilazione e la presentazione telematica della domanda di sostegno, disponibili on line. </w:t>
      </w:r>
    </w:p>
    <w:p w14:paraId="378038E2" w14:textId="77777777" w:rsidR="00401691" w:rsidRPr="005D239B" w:rsidRDefault="00401691" w:rsidP="00401691">
      <w:pPr>
        <w:spacing w:after="0" w:line="240" w:lineRule="auto"/>
        <w:jc w:val="both"/>
        <w:rPr>
          <w:rFonts w:asciiTheme="majorHAnsi" w:hAnsiTheme="majorHAnsi" w:cs="Arial"/>
          <w:sz w:val="24"/>
          <w:szCs w:val="24"/>
        </w:rPr>
      </w:pPr>
    </w:p>
    <w:p w14:paraId="16F616F4" w14:textId="278B36C3" w:rsidR="008A5596" w:rsidRPr="005D239B" w:rsidRDefault="008A5596" w:rsidP="008A5596">
      <w:pPr>
        <w:rPr>
          <w:rFonts w:asciiTheme="majorHAnsi" w:eastAsia="Times New Roman" w:hAnsiTheme="majorHAnsi" w:cs="Times New Roman"/>
          <w:sz w:val="24"/>
          <w:szCs w:val="24"/>
          <w:u w:val="single"/>
        </w:rPr>
      </w:pPr>
    </w:p>
    <w:p w14:paraId="79DB487B" w14:textId="5B1DA3F1" w:rsidR="008A5596" w:rsidRPr="005D239B" w:rsidRDefault="008A5596" w:rsidP="008A5596">
      <w:pPr>
        <w:spacing w:after="0" w:line="240" w:lineRule="auto"/>
        <w:jc w:val="center"/>
        <w:rPr>
          <w:rFonts w:asciiTheme="majorHAnsi" w:eastAsia="Times New Roman" w:hAnsiTheme="majorHAnsi" w:cs="Times New Roman"/>
          <w:b/>
          <w:sz w:val="24"/>
          <w:szCs w:val="24"/>
        </w:rPr>
      </w:pPr>
      <w:r w:rsidRPr="005D239B">
        <w:rPr>
          <w:rFonts w:asciiTheme="majorHAnsi" w:hAnsiTheme="majorHAnsi" w:cs="Times New Roman"/>
          <w:b/>
          <w:bCs/>
          <w:sz w:val="24"/>
          <w:szCs w:val="24"/>
        </w:rPr>
        <w:t>Interventi sul personale</w:t>
      </w:r>
      <w:r w:rsidR="00095AFC" w:rsidRPr="00095AFC">
        <w:rPr>
          <w:rFonts w:asciiTheme="majorHAnsi" w:eastAsia="Times New Roman" w:hAnsiTheme="majorHAnsi" w:cs="Times New Roman"/>
          <w:b/>
          <w:sz w:val="24"/>
          <w:szCs w:val="24"/>
        </w:rPr>
        <w:t xml:space="preserve"> </w:t>
      </w:r>
      <w:r w:rsidR="00095AFC">
        <w:rPr>
          <w:rFonts w:asciiTheme="majorHAnsi" w:eastAsia="Times New Roman" w:hAnsiTheme="majorHAnsi" w:cs="Times New Roman"/>
          <w:b/>
          <w:sz w:val="24"/>
          <w:szCs w:val="24"/>
        </w:rPr>
        <w:t>(</w:t>
      </w:r>
      <w:r w:rsidR="00095AFC" w:rsidRPr="005D239B">
        <w:rPr>
          <w:rFonts w:asciiTheme="majorHAnsi" w:eastAsia="Times New Roman" w:hAnsiTheme="majorHAnsi" w:cs="Times New Roman"/>
          <w:b/>
          <w:sz w:val="24"/>
          <w:szCs w:val="24"/>
        </w:rPr>
        <w:t>Par</w:t>
      </w:r>
      <w:r w:rsidR="00095AFC">
        <w:rPr>
          <w:rFonts w:asciiTheme="majorHAnsi" w:eastAsia="Times New Roman" w:hAnsiTheme="majorHAnsi" w:cs="Times New Roman"/>
          <w:b/>
          <w:sz w:val="24"/>
          <w:szCs w:val="24"/>
        </w:rPr>
        <w:t>.</w:t>
      </w:r>
      <w:r w:rsidR="00095AFC" w:rsidRPr="005D239B">
        <w:rPr>
          <w:rFonts w:asciiTheme="majorHAnsi" w:eastAsia="Times New Roman" w:hAnsiTheme="majorHAnsi" w:cs="Times New Roman"/>
          <w:b/>
          <w:sz w:val="24"/>
          <w:szCs w:val="24"/>
        </w:rPr>
        <w:t xml:space="preserve"> 6.2</w:t>
      </w:r>
      <w:r w:rsidR="00095AFC">
        <w:rPr>
          <w:rFonts w:asciiTheme="majorHAnsi" w:eastAsia="Times New Roman" w:hAnsiTheme="majorHAnsi" w:cs="Times New Roman"/>
          <w:b/>
          <w:sz w:val="24"/>
          <w:szCs w:val="24"/>
        </w:rPr>
        <w:t>)</w:t>
      </w:r>
    </w:p>
    <w:p w14:paraId="6C789F93" w14:textId="77777777" w:rsidR="008A5596" w:rsidRPr="005D239B" w:rsidRDefault="008A5596" w:rsidP="008A5596">
      <w:pPr>
        <w:spacing w:after="0" w:line="240" w:lineRule="auto"/>
        <w:jc w:val="both"/>
        <w:rPr>
          <w:rFonts w:asciiTheme="majorHAnsi" w:eastAsia="Times New Roman" w:hAnsiTheme="majorHAnsi" w:cs="Times New Roman"/>
          <w:sz w:val="24"/>
          <w:szCs w:val="24"/>
        </w:rPr>
      </w:pPr>
    </w:p>
    <w:p w14:paraId="18602752" w14:textId="77777777" w:rsidR="008A5596" w:rsidRPr="005D239B" w:rsidRDefault="008A5596" w:rsidP="008A5596">
      <w:pPr>
        <w:spacing w:after="0" w:line="240" w:lineRule="auto"/>
        <w:jc w:val="both"/>
        <w:rPr>
          <w:rFonts w:asciiTheme="majorHAnsi" w:eastAsia="Times New Roman" w:hAnsiTheme="majorHAnsi" w:cs="Times New Roman"/>
          <w:i/>
          <w:sz w:val="24"/>
          <w:szCs w:val="24"/>
        </w:rPr>
      </w:pPr>
      <w:bookmarkStart w:id="0" w:name="_GoBack"/>
      <w:bookmarkEnd w:id="0"/>
    </w:p>
    <w:p w14:paraId="3BD123EC" w14:textId="77777777" w:rsidR="008A5596" w:rsidRPr="005D239B" w:rsidRDefault="008A5596" w:rsidP="008A5596">
      <w:pPr>
        <w:spacing w:after="0" w:line="240" w:lineRule="auto"/>
        <w:jc w:val="both"/>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Intervento 11 Razionalizzazione delle risorse umane dedicate ai PO</w:t>
      </w:r>
    </w:p>
    <w:p w14:paraId="4956EA03" w14:textId="77777777" w:rsidR="008D53B7" w:rsidRDefault="008D53B7" w:rsidP="00896BE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O</w:t>
      </w:r>
      <w:r w:rsidR="00896BE2" w:rsidRPr="005D239B">
        <w:rPr>
          <w:rFonts w:asciiTheme="majorHAnsi" w:eastAsia="Times New Roman" w:hAnsiTheme="majorHAnsi" w:cs="Arial"/>
          <w:sz w:val="24"/>
          <w:szCs w:val="24"/>
        </w:rPr>
        <w:t xml:space="preserve">ltre ai dipendenti di ruolo dell'Amministrazione regionale, operano a supporto dell'AdG FESR </w:t>
      </w:r>
      <w:r w:rsidR="005D239B">
        <w:rPr>
          <w:rFonts w:asciiTheme="majorHAnsi" w:eastAsia="Times New Roman" w:hAnsiTheme="majorHAnsi" w:cs="Arial"/>
          <w:sz w:val="24"/>
          <w:szCs w:val="24"/>
        </w:rPr>
        <w:t xml:space="preserve">n. </w:t>
      </w:r>
      <w:r>
        <w:rPr>
          <w:rFonts w:asciiTheme="majorHAnsi" w:hAnsiTheme="majorHAnsi" w:cs="Arial"/>
          <w:sz w:val="24"/>
          <w:szCs w:val="24"/>
        </w:rPr>
        <w:t>40 dipendenti</w:t>
      </w:r>
      <w:r w:rsidR="00896BE2" w:rsidRPr="005D239B">
        <w:rPr>
          <w:rFonts w:asciiTheme="majorHAnsi" w:hAnsiTheme="majorHAnsi" w:cs="Arial"/>
          <w:sz w:val="24"/>
          <w:szCs w:val="24"/>
        </w:rPr>
        <w:t xml:space="preserve">, di cui 5 risultano assegnati </w:t>
      </w:r>
      <w:r>
        <w:rPr>
          <w:rFonts w:asciiTheme="majorHAnsi" w:hAnsiTheme="majorHAnsi" w:cs="Arial"/>
          <w:sz w:val="24"/>
          <w:szCs w:val="24"/>
        </w:rPr>
        <w:t>al</w:t>
      </w:r>
      <w:r w:rsidR="00896BE2" w:rsidRPr="005D239B">
        <w:rPr>
          <w:rFonts w:asciiTheme="majorHAnsi" w:hAnsiTheme="majorHAnsi" w:cs="Arial"/>
          <w:sz w:val="24"/>
          <w:szCs w:val="24"/>
        </w:rPr>
        <w:t xml:space="preserve">le SRA </w:t>
      </w:r>
      <w:r>
        <w:rPr>
          <w:rFonts w:asciiTheme="majorHAnsi" w:hAnsiTheme="majorHAnsi" w:cs="Arial"/>
          <w:sz w:val="24"/>
          <w:szCs w:val="24"/>
        </w:rPr>
        <w:t>per la</w:t>
      </w:r>
      <w:r w:rsidR="00896BE2" w:rsidRPr="005D239B">
        <w:rPr>
          <w:rFonts w:asciiTheme="majorHAnsi" w:hAnsiTheme="majorHAnsi" w:cs="Arial"/>
          <w:sz w:val="24"/>
          <w:szCs w:val="24"/>
        </w:rPr>
        <w:t xml:space="preserve"> chiusura della Pro</w:t>
      </w:r>
      <w:r w:rsidR="005D239B">
        <w:rPr>
          <w:rFonts w:asciiTheme="majorHAnsi" w:hAnsiTheme="majorHAnsi" w:cs="Arial"/>
          <w:sz w:val="24"/>
          <w:szCs w:val="24"/>
        </w:rPr>
        <w:t>grammazione 2007-2013 e che</w:t>
      </w:r>
      <w:r w:rsidR="00896BE2" w:rsidRPr="005D239B">
        <w:rPr>
          <w:rFonts w:asciiTheme="majorHAnsi" w:hAnsiTheme="majorHAnsi" w:cs="Arial"/>
          <w:sz w:val="24"/>
          <w:szCs w:val="24"/>
        </w:rPr>
        <w:t xml:space="preserve"> n</w:t>
      </w:r>
      <w:r>
        <w:rPr>
          <w:rFonts w:asciiTheme="majorHAnsi" w:hAnsiTheme="majorHAnsi" w:cs="Arial"/>
          <w:sz w:val="24"/>
          <w:szCs w:val="24"/>
        </w:rPr>
        <w:t>on saranno coinvolte nella</w:t>
      </w:r>
      <w:r w:rsidR="00896BE2" w:rsidRPr="005D239B">
        <w:rPr>
          <w:rFonts w:asciiTheme="majorHAnsi" w:hAnsiTheme="majorHAnsi" w:cs="Arial"/>
          <w:sz w:val="24"/>
          <w:szCs w:val="24"/>
        </w:rPr>
        <w:t xml:space="preserve"> Programmazione 2014-2020, </w:t>
      </w:r>
      <w:r w:rsidR="00896BE2" w:rsidRPr="005D239B">
        <w:rPr>
          <w:rFonts w:asciiTheme="majorHAnsi" w:eastAsia="Times New Roman" w:hAnsiTheme="majorHAnsi" w:cs="Arial"/>
          <w:sz w:val="24"/>
          <w:szCs w:val="24"/>
        </w:rPr>
        <w:t xml:space="preserve">e a supporto del AdG FSE </w:t>
      </w:r>
      <w:r w:rsidR="005D239B">
        <w:rPr>
          <w:rFonts w:asciiTheme="majorHAnsi" w:eastAsia="Times New Roman" w:hAnsiTheme="majorHAnsi" w:cs="Arial"/>
          <w:sz w:val="24"/>
          <w:szCs w:val="24"/>
        </w:rPr>
        <w:t xml:space="preserve">n. </w:t>
      </w:r>
      <w:r w:rsidR="00896BE2" w:rsidRPr="005D239B">
        <w:rPr>
          <w:rFonts w:asciiTheme="majorHAnsi" w:eastAsia="Times New Roman" w:hAnsiTheme="majorHAnsi" w:cs="Arial"/>
          <w:sz w:val="24"/>
          <w:szCs w:val="24"/>
        </w:rPr>
        <w:t>22 dipendenti a tempo determinato. I contratti di lavoro, nel rispetto del limite di legge previsto dalla normati</w:t>
      </w:r>
      <w:r>
        <w:rPr>
          <w:rFonts w:asciiTheme="majorHAnsi" w:eastAsia="Times New Roman" w:hAnsiTheme="majorHAnsi" w:cs="Arial"/>
          <w:sz w:val="24"/>
          <w:szCs w:val="24"/>
        </w:rPr>
        <w:t xml:space="preserve">va, </w:t>
      </w:r>
      <w:r w:rsidR="00896BE2" w:rsidRPr="005D239B">
        <w:rPr>
          <w:rFonts w:asciiTheme="majorHAnsi" w:eastAsia="Times New Roman" w:hAnsiTheme="majorHAnsi" w:cs="Arial"/>
          <w:sz w:val="24"/>
          <w:szCs w:val="24"/>
        </w:rPr>
        <w:t xml:space="preserve">scadranno tra dicembre 2016 e </w:t>
      </w:r>
      <w:r>
        <w:rPr>
          <w:rFonts w:asciiTheme="majorHAnsi" w:eastAsia="Times New Roman" w:hAnsiTheme="majorHAnsi" w:cs="Arial"/>
          <w:sz w:val="24"/>
          <w:szCs w:val="24"/>
        </w:rPr>
        <w:t>l’inizio</w:t>
      </w:r>
      <w:r w:rsidR="005D239B">
        <w:rPr>
          <w:rFonts w:asciiTheme="majorHAnsi" w:eastAsia="Times New Roman" w:hAnsiTheme="majorHAnsi" w:cs="Arial"/>
          <w:sz w:val="24"/>
          <w:szCs w:val="24"/>
        </w:rPr>
        <w:t xml:space="preserve"> 2017. </w:t>
      </w:r>
    </w:p>
    <w:p w14:paraId="231D1965" w14:textId="78E2A672" w:rsidR="00896BE2" w:rsidRPr="005D239B" w:rsidRDefault="005D239B" w:rsidP="00896BE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A</w:t>
      </w:r>
      <w:r w:rsidR="00896BE2" w:rsidRPr="005D239B">
        <w:rPr>
          <w:rFonts w:asciiTheme="majorHAnsi" w:eastAsia="Times New Roman" w:hAnsiTheme="majorHAnsi" w:cs="Arial"/>
          <w:sz w:val="24"/>
          <w:szCs w:val="24"/>
        </w:rPr>
        <w:t xml:space="preserve"> maggio 2016, </w:t>
      </w:r>
      <w:r w:rsidR="008D53B7">
        <w:rPr>
          <w:rFonts w:asciiTheme="majorHAnsi" w:eastAsia="Times New Roman" w:hAnsiTheme="majorHAnsi" w:cs="Arial"/>
          <w:sz w:val="24"/>
          <w:szCs w:val="24"/>
        </w:rPr>
        <w:t>è stato approvato il P</w:t>
      </w:r>
      <w:r w:rsidR="00896BE2" w:rsidRPr="005D239B">
        <w:rPr>
          <w:rFonts w:asciiTheme="majorHAnsi" w:eastAsia="Times New Roman" w:hAnsiTheme="majorHAnsi" w:cs="Arial"/>
          <w:sz w:val="24"/>
          <w:szCs w:val="24"/>
        </w:rPr>
        <w:t>iano delle assunzioni per l'anno 2016 che affronta la necessità di rinforzo di personale previsto dal PRA.</w:t>
      </w:r>
    </w:p>
    <w:p w14:paraId="22A4331D" w14:textId="77777777" w:rsidR="00A76845" w:rsidRPr="005D239B" w:rsidRDefault="00A76845" w:rsidP="00896BE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p>
    <w:p w14:paraId="2E640E03" w14:textId="2A185AB4" w:rsidR="00896BE2" w:rsidRPr="005D239B" w:rsidRDefault="00896BE2" w:rsidP="00896BE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L'obiettivo di ridurre l'utilizzo del personale a tempo determinato attraverso il reclutamento di personale a tempo indeterminato è stato rallentato dall'obbligo di assorbimento di circa 400 dipendenti provenienti dalle Province.</w:t>
      </w:r>
    </w:p>
    <w:p w14:paraId="0C653B64" w14:textId="77777777" w:rsidR="00A76845" w:rsidRPr="005D239B" w:rsidRDefault="00A76845" w:rsidP="00896BE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p>
    <w:p w14:paraId="4F7A4628" w14:textId="6C33A897" w:rsidR="00896BE2" w:rsidRPr="005D239B" w:rsidRDefault="00896BE2" w:rsidP="00896BE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Dopo che il Dipartimento della Funzion</w:t>
      </w:r>
      <w:r w:rsidR="00E52A43">
        <w:rPr>
          <w:rFonts w:asciiTheme="majorHAnsi" w:eastAsia="Times New Roman" w:hAnsiTheme="majorHAnsi" w:cs="Arial"/>
          <w:sz w:val="24"/>
          <w:szCs w:val="24"/>
        </w:rPr>
        <w:t>e Pubblica con circolare del 18.</w:t>
      </w:r>
      <w:r w:rsidRPr="005D239B">
        <w:rPr>
          <w:rFonts w:asciiTheme="majorHAnsi" w:eastAsia="Times New Roman" w:hAnsiTheme="majorHAnsi" w:cs="Arial"/>
          <w:sz w:val="24"/>
          <w:szCs w:val="24"/>
        </w:rPr>
        <w:t>07</w:t>
      </w:r>
      <w:r w:rsidR="00E52A43">
        <w:rPr>
          <w:rFonts w:asciiTheme="majorHAnsi" w:eastAsia="Times New Roman" w:hAnsiTheme="majorHAnsi" w:cs="Arial"/>
          <w:sz w:val="24"/>
          <w:szCs w:val="24"/>
        </w:rPr>
        <w:t>.</w:t>
      </w:r>
      <w:r w:rsidR="008D53B7">
        <w:rPr>
          <w:rFonts w:asciiTheme="majorHAnsi" w:eastAsia="Times New Roman" w:hAnsiTheme="majorHAnsi" w:cs="Arial"/>
          <w:sz w:val="24"/>
          <w:szCs w:val="24"/>
        </w:rPr>
        <w:t>20</w:t>
      </w:r>
      <w:r w:rsidRPr="005D239B">
        <w:rPr>
          <w:rFonts w:asciiTheme="majorHAnsi" w:eastAsia="Times New Roman" w:hAnsiTheme="majorHAnsi" w:cs="Arial"/>
          <w:sz w:val="24"/>
          <w:szCs w:val="24"/>
        </w:rPr>
        <w:t xml:space="preserve">16 ha ripristinato le ordinarie facoltà di assunzione di personale per le </w:t>
      </w:r>
      <w:r w:rsidR="00A76845" w:rsidRPr="005D239B">
        <w:rPr>
          <w:rFonts w:asciiTheme="majorHAnsi" w:eastAsia="Times New Roman" w:hAnsiTheme="majorHAnsi" w:cs="Arial"/>
          <w:sz w:val="24"/>
          <w:szCs w:val="24"/>
        </w:rPr>
        <w:t>A</w:t>
      </w:r>
      <w:r w:rsidRPr="005D239B">
        <w:rPr>
          <w:rFonts w:asciiTheme="majorHAnsi" w:eastAsia="Times New Roman" w:hAnsiTheme="majorHAnsi" w:cs="Arial"/>
          <w:sz w:val="24"/>
          <w:szCs w:val="24"/>
        </w:rPr>
        <w:t xml:space="preserve">mministrazioni che hanno completato l’allocazione del </w:t>
      </w:r>
      <w:r w:rsidR="00A76845" w:rsidRPr="005D239B">
        <w:rPr>
          <w:rFonts w:asciiTheme="majorHAnsi" w:eastAsia="Times New Roman" w:hAnsiTheme="majorHAnsi" w:cs="Arial"/>
          <w:sz w:val="24"/>
          <w:szCs w:val="24"/>
        </w:rPr>
        <w:t>personale proveniente dalle ex P</w:t>
      </w:r>
      <w:r w:rsidR="008D53B7">
        <w:rPr>
          <w:rFonts w:asciiTheme="majorHAnsi" w:eastAsia="Times New Roman" w:hAnsiTheme="majorHAnsi" w:cs="Arial"/>
          <w:sz w:val="24"/>
          <w:szCs w:val="24"/>
        </w:rPr>
        <w:t>rovince</w:t>
      </w:r>
      <w:r w:rsidRPr="005D239B">
        <w:rPr>
          <w:rFonts w:asciiTheme="majorHAnsi" w:eastAsia="Times New Roman" w:hAnsiTheme="majorHAnsi" w:cs="Arial"/>
          <w:sz w:val="24"/>
          <w:szCs w:val="24"/>
        </w:rPr>
        <w:t>, sono state avviate le procedure per l’acquisizione del personale che sarà assegnato prioritariamente alle</w:t>
      </w:r>
      <w:r w:rsidR="008D53B7">
        <w:rPr>
          <w:rFonts w:asciiTheme="majorHAnsi" w:eastAsia="Times New Roman" w:hAnsiTheme="majorHAnsi" w:cs="Arial"/>
          <w:sz w:val="24"/>
          <w:szCs w:val="24"/>
        </w:rPr>
        <w:t xml:space="preserve"> SRA</w:t>
      </w:r>
      <w:r w:rsidRPr="005D239B">
        <w:rPr>
          <w:rFonts w:asciiTheme="majorHAnsi" w:eastAsia="Times New Roman" w:hAnsiTheme="majorHAnsi" w:cs="Arial"/>
          <w:sz w:val="24"/>
          <w:szCs w:val="24"/>
        </w:rPr>
        <w:t>.</w:t>
      </w:r>
    </w:p>
    <w:p w14:paraId="448C9C58" w14:textId="5160584B" w:rsidR="00001D56" w:rsidRPr="005D239B" w:rsidRDefault="00F35C7D" w:rsidP="00001D56">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Dopo aver</w:t>
      </w:r>
      <w:r w:rsidR="00896BE2" w:rsidRPr="005D239B">
        <w:rPr>
          <w:rFonts w:asciiTheme="majorHAnsi" w:eastAsia="Times New Roman" w:hAnsiTheme="majorHAnsi" w:cs="Arial"/>
          <w:sz w:val="24"/>
          <w:szCs w:val="24"/>
        </w:rPr>
        <w:t xml:space="preserve"> </w:t>
      </w:r>
      <w:r>
        <w:rPr>
          <w:rFonts w:asciiTheme="majorHAnsi" w:eastAsia="Times New Roman" w:hAnsiTheme="majorHAnsi" w:cs="Arial"/>
          <w:sz w:val="24"/>
          <w:szCs w:val="24"/>
        </w:rPr>
        <w:t>pubblicato</w:t>
      </w:r>
      <w:r w:rsidR="00896BE2" w:rsidRPr="005D239B">
        <w:rPr>
          <w:rFonts w:asciiTheme="majorHAnsi" w:eastAsia="Times New Roman" w:hAnsiTheme="majorHAnsi" w:cs="Arial"/>
          <w:sz w:val="24"/>
          <w:szCs w:val="24"/>
        </w:rPr>
        <w:t xml:space="preserve"> </w:t>
      </w:r>
      <w:r>
        <w:rPr>
          <w:rFonts w:asciiTheme="majorHAnsi" w:eastAsia="Times New Roman" w:hAnsiTheme="majorHAnsi" w:cs="Arial"/>
          <w:sz w:val="24"/>
          <w:szCs w:val="24"/>
        </w:rPr>
        <w:t xml:space="preserve">gli </w:t>
      </w:r>
      <w:r w:rsidR="00896BE2" w:rsidRPr="005D239B">
        <w:rPr>
          <w:rFonts w:asciiTheme="majorHAnsi" w:eastAsia="Times New Roman" w:hAnsiTheme="majorHAnsi" w:cs="Arial"/>
          <w:sz w:val="24"/>
          <w:szCs w:val="24"/>
        </w:rPr>
        <w:t>avvis</w:t>
      </w:r>
      <w:r>
        <w:rPr>
          <w:rFonts w:asciiTheme="majorHAnsi" w:eastAsia="Times New Roman" w:hAnsiTheme="majorHAnsi" w:cs="Arial"/>
          <w:sz w:val="24"/>
          <w:szCs w:val="24"/>
        </w:rPr>
        <w:t>i</w:t>
      </w:r>
      <w:r w:rsidR="00896BE2" w:rsidRPr="005D239B">
        <w:rPr>
          <w:rFonts w:asciiTheme="majorHAnsi" w:eastAsia="Times New Roman" w:hAnsiTheme="majorHAnsi" w:cs="Arial"/>
          <w:sz w:val="24"/>
          <w:szCs w:val="24"/>
        </w:rPr>
        <w:t xml:space="preserve"> di mobilità esterna volontaria </w:t>
      </w:r>
      <w:r>
        <w:rPr>
          <w:rFonts w:asciiTheme="majorHAnsi" w:eastAsia="Times New Roman" w:hAnsiTheme="majorHAnsi" w:cs="Arial"/>
          <w:sz w:val="24"/>
          <w:szCs w:val="24"/>
        </w:rPr>
        <w:t>ed interna, i</w:t>
      </w:r>
      <w:r w:rsidR="00E52A43">
        <w:rPr>
          <w:rFonts w:asciiTheme="majorHAnsi" w:eastAsia="Times New Roman" w:hAnsiTheme="majorHAnsi" w:cs="Arial"/>
          <w:sz w:val="24"/>
          <w:szCs w:val="24"/>
        </w:rPr>
        <w:t>l 26.08.</w:t>
      </w:r>
      <w:r w:rsidR="00C65D90">
        <w:rPr>
          <w:rFonts w:asciiTheme="majorHAnsi" w:eastAsia="Times New Roman" w:hAnsiTheme="majorHAnsi" w:cs="Arial"/>
          <w:sz w:val="24"/>
          <w:szCs w:val="24"/>
        </w:rPr>
        <w:t>2016 so</w:t>
      </w:r>
      <w:r w:rsidR="00F97675">
        <w:rPr>
          <w:rFonts w:asciiTheme="majorHAnsi" w:eastAsia="Times New Roman" w:hAnsiTheme="majorHAnsi" w:cs="Arial"/>
          <w:sz w:val="24"/>
          <w:szCs w:val="24"/>
        </w:rPr>
        <w:t>no usciti</w:t>
      </w:r>
      <w:r w:rsidR="00001D56" w:rsidRPr="005D239B">
        <w:rPr>
          <w:rFonts w:asciiTheme="majorHAnsi" w:eastAsia="Times New Roman" w:hAnsiTheme="majorHAnsi" w:cs="Arial"/>
          <w:sz w:val="24"/>
          <w:szCs w:val="24"/>
        </w:rPr>
        <w:t xml:space="preserve"> i bandi di concorso per 5 distinti profili professionali da assegnare prioritariamente alle Strutture regionali che gestiscono i Programmi Operativi.</w:t>
      </w:r>
    </w:p>
    <w:p w14:paraId="37AA6767" w14:textId="77777777" w:rsidR="00401691" w:rsidRPr="005D239B" w:rsidRDefault="00401691" w:rsidP="008A5596">
      <w:pPr>
        <w:spacing w:after="0" w:line="240" w:lineRule="auto"/>
        <w:jc w:val="both"/>
        <w:rPr>
          <w:rFonts w:asciiTheme="majorHAnsi" w:eastAsia="Times New Roman" w:hAnsiTheme="majorHAnsi" w:cs="Times New Roman"/>
          <w:b/>
          <w:sz w:val="24"/>
          <w:szCs w:val="24"/>
        </w:rPr>
      </w:pPr>
    </w:p>
    <w:p w14:paraId="1BDCED10" w14:textId="77777777" w:rsidR="008A5596" w:rsidRPr="005D239B" w:rsidRDefault="008A5596" w:rsidP="008A5596">
      <w:pPr>
        <w:spacing w:after="0" w:line="240" w:lineRule="auto"/>
        <w:jc w:val="both"/>
        <w:rPr>
          <w:rFonts w:asciiTheme="majorHAnsi" w:eastAsia="Times New Roman" w:hAnsiTheme="majorHAnsi" w:cs="Times New Roman"/>
          <w:b/>
          <w:sz w:val="24"/>
          <w:szCs w:val="24"/>
        </w:rPr>
      </w:pPr>
    </w:p>
    <w:p w14:paraId="057F49AB" w14:textId="77777777" w:rsidR="008A5596" w:rsidRPr="005D239B" w:rsidRDefault="008A5596" w:rsidP="008A5596">
      <w:pPr>
        <w:spacing w:after="0" w:line="240" w:lineRule="auto"/>
        <w:jc w:val="both"/>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Intervento 12 Attivazione di corsi di formazione specialistici per il personale regionale dedicato alla gestione, controllo e monitoraggio dei PO</w:t>
      </w:r>
    </w:p>
    <w:p w14:paraId="185B1BD2" w14:textId="703B7EE1" w:rsidR="00001D56" w:rsidRPr="005D239B" w:rsidRDefault="00A87408" w:rsidP="00001D56">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Prosegue l’</w:t>
      </w:r>
      <w:r w:rsidR="00844E70">
        <w:rPr>
          <w:rFonts w:asciiTheme="majorHAnsi" w:eastAsia="Times New Roman" w:hAnsiTheme="majorHAnsi" w:cs="Arial"/>
          <w:sz w:val="24"/>
          <w:szCs w:val="24"/>
        </w:rPr>
        <w:t>attività formativa diffusa, anche su: i</w:t>
      </w:r>
      <w:r w:rsidRPr="005D239B">
        <w:rPr>
          <w:rFonts w:asciiTheme="majorHAnsi" w:eastAsia="Times New Roman" w:hAnsiTheme="majorHAnsi" w:cs="Arial"/>
          <w:sz w:val="24"/>
          <w:szCs w:val="24"/>
        </w:rPr>
        <w:t>l nuovo Codice Appalti, gli Aiuti di Stato</w:t>
      </w:r>
      <w:r w:rsidR="00F35C7D">
        <w:rPr>
          <w:rFonts w:asciiTheme="majorHAnsi" w:eastAsia="Times New Roman" w:hAnsiTheme="majorHAnsi" w:cs="Arial"/>
          <w:sz w:val="24"/>
          <w:szCs w:val="24"/>
        </w:rPr>
        <w:t>,</w:t>
      </w:r>
      <w:r w:rsidR="00857B13" w:rsidRPr="005D239B">
        <w:rPr>
          <w:rFonts w:asciiTheme="majorHAnsi" w:eastAsia="Times New Roman" w:hAnsiTheme="majorHAnsi" w:cs="Arial"/>
          <w:sz w:val="24"/>
          <w:szCs w:val="24"/>
        </w:rPr>
        <w:t xml:space="preserve"> il S</w:t>
      </w:r>
      <w:r w:rsidR="00F35C7D">
        <w:rPr>
          <w:rFonts w:asciiTheme="majorHAnsi" w:eastAsia="Times New Roman" w:hAnsiTheme="majorHAnsi" w:cs="Arial"/>
          <w:sz w:val="24"/>
          <w:szCs w:val="24"/>
        </w:rPr>
        <w:t>IU</w:t>
      </w:r>
      <w:r w:rsidR="00001D56" w:rsidRPr="005D239B">
        <w:rPr>
          <w:rFonts w:asciiTheme="majorHAnsi" w:eastAsia="Times New Roman" w:hAnsiTheme="majorHAnsi" w:cs="Arial"/>
          <w:sz w:val="24"/>
          <w:szCs w:val="24"/>
        </w:rPr>
        <w:t xml:space="preserve"> e la formazione linguistica. Nel piano di formazione per il 2016 sono stati previsti degli interventi di rafforzamento amministrativo per sostenere la programmazione e l'attuazione dei Programmi Operativi.</w:t>
      </w:r>
    </w:p>
    <w:p w14:paraId="7A470CE5" w14:textId="77777777" w:rsidR="00001D56" w:rsidRPr="005D239B" w:rsidRDefault="00001D56" w:rsidP="00001D56">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L'obiettivo di sviluppare gli interventi formativi previsti dal Piano di Rafforzamento Amministrativo della Regione del Veneto ha reso necessario costituire un gruppo di lavoro che sta delineando il programma da sviluppare.</w:t>
      </w:r>
    </w:p>
    <w:p w14:paraId="3CB17E2F" w14:textId="2F35C40A" w:rsidR="008A5596" w:rsidRPr="00A935AC" w:rsidRDefault="00001D56" w:rsidP="008A5596">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b/>
          <w:sz w:val="24"/>
          <w:szCs w:val="24"/>
        </w:rPr>
      </w:pPr>
      <w:r w:rsidRPr="005D239B">
        <w:rPr>
          <w:rFonts w:asciiTheme="majorHAnsi" w:eastAsia="Times New Roman" w:hAnsiTheme="majorHAnsi" w:cs="Arial"/>
          <w:b/>
          <w:sz w:val="24"/>
          <w:szCs w:val="24"/>
        </w:rPr>
        <w:t>Si prevede di portare a compimento la definizione del percorso formativo entro il mese di dicembre 2016.</w:t>
      </w:r>
    </w:p>
    <w:p w14:paraId="1CC4B2A2" w14:textId="77777777" w:rsidR="00621D2D" w:rsidRDefault="00621D2D" w:rsidP="00A935AC">
      <w:pPr>
        <w:autoSpaceDE w:val="0"/>
        <w:autoSpaceDN w:val="0"/>
        <w:adjustRightInd w:val="0"/>
        <w:spacing w:after="0" w:line="240" w:lineRule="auto"/>
        <w:ind w:left="40" w:right="-23"/>
        <w:jc w:val="both"/>
        <w:rPr>
          <w:rFonts w:asciiTheme="majorHAnsi" w:hAnsiTheme="majorHAnsi" w:cs="Times New Roman"/>
          <w:position w:val="1"/>
          <w:sz w:val="24"/>
          <w:szCs w:val="24"/>
        </w:rPr>
      </w:pPr>
    </w:p>
    <w:p w14:paraId="55548BFC" w14:textId="77777777" w:rsidR="00A935AC" w:rsidRPr="005D239B" w:rsidRDefault="00A935AC" w:rsidP="00A935AC">
      <w:pPr>
        <w:autoSpaceDE w:val="0"/>
        <w:autoSpaceDN w:val="0"/>
        <w:adjustRightInd w:val="0"/>
        <w:spacing w:after="0" w:line="240" w:lineRule="auto"/>
        <w:ind w:left="40" w:right="-23"/>
        <w:jc w:val="both"/>
        <w:rPr>
          <w:rFonts w:asciiTheme="majorHAnsi" w:hAnsiTheme="majorHAnsi" w:cs="Times New Roman"/>
          <w:position w:val="1"/>
          <w:sz w:val="24"/>
          <w:szCs w:val="24"/>
        </w:rPr>
      </w:pPr>
    </w:p>
    <w:p w14:paraId="27710E88" w14:textId="767BE533" w:rsidR="008A5596" w:rsidRPr="00095AFC" w:rsidRDefault="008A5596" w:rsidP="008A5596">
      <w:pPr>
        <w:spacing w:after="0" w:line="240" w:lineRule="auto"/>
        <w:jc w:val="center"/>
        <w:rPr>
          <w:rFonts w:asciiTheme="majorHAnsi" w:eastAsia="Times New Roman" w:hAnsiTheme="majorHAnsi" w:cs="Times New Roman"/>
          <w:b/>
          <w:sz w:val="24"/>
          <w:szCs w:val="24"/>
        </w:rPr>
      </w:pPr>
      <w:r w:rsidRPr="00095AFC">
        <w:rPr>
          <w:rFonts w:asciiTheme="majorHAnsi" w:eastAsia="Times New Roman" w:hAnsiTheme="majorHAnsi" w:cs="Times New Roman"/>
          <w:b/>
          <w:sz w:val="24"/>
          <w:szCs w:val="24"/>
        </w:rPr>
        <w:t>Interven</w:t>
      </w:r>
      <w:r w:rsidRPr="00095AFC">
        <w:rPr>
          <w:rFonts w:asciiTheme="majorHAnsi" w:hAnsiTheme="majorHAnsi" w:cs="Times New Roman"/>
          <w:b/>
          <w:bCs/>
          <w:sz w:val="24"/>
          <w:szCs w:val="24"/>
        </w:rPr>
        <w:t>ti sulle funzioni trasversali e sugli strumenti comuni</w:t>
      </w:r>
      <w:r w:rsidR="00095AFC" w:rsidRPr="00095AFC">
        <w:rPr>
          <w:rFonts w:asciiTheme="majorHAnsi" w:hAnsiTheme="majorHAnsi" w:cs="Times New Roman"/>
          <w:b/>
          <w:bCs/>
          <w:sz w:val="24"/>
          <w:szCs w:val="24"/>
        </w:rPr>
        <w:t xml:space="preserve"> (</w:t>
      </w:r>
      <w:r w:rsidR="00095AFC" w:rsidRPr="00095AFC">
        <w:rPr>
          <w:rFonts w:asciiTheme="majorHAnsi" w:eastAsia="Times New Roman" w:hAnsiTheme="majorHAnsi" w:cs="Times New Roman"/>
          <w:b/>
          <w:sz w:val="24"/>
          <w:szCs w:val="24"/>
        </w:rPr>
        <w:t>Par. 6.3)</w:t>
      </w:r>
    </w:p>
    <w:p w14:paraId="37473966" w14:textId="77777777" w:rsidR="008A5596" w:rsidRPr="00095AFC" w:rsidRDefault="008A5596" w:rsidP="008A5596">
      <w:pPr>
        <w:spacing w:after="0" w:line="240" w:lineRule="auto"/>
        <w:jc w:val="both"/>
        <w:rPr>
          <w:rFonts w:asciiTheme="majorHAnsi" w:eastAsia="Times New Roman" w:hAnsiTheme="majorHAnsi" w:cs="Times New Roman"/>
          <w:b/>
          <w:sz w:val="24"/>
          <w:szCs w:val="24"/>
        </w:rPr>
      </w:pPr>
    </w:p>
    <w:p w14:paraId="750F44F3" w14:textId="77777777" w:rsidR="008A5596" w:rsidRPr="005D239B" w:rsidRDefault="008A5596" w:rsidP="008A5596">
      <w:pPr>
        <w:spacing w:after="0" w:line="240" w:lineRule="auto"/>
        <w:jc w:val="both"/>
        <w:rPr>
          <w:rFonts w:asciiTheme="majorHAnsi" w:eastAsia="Times New Roman" w:hAnsiTheme="majorHAnsi" w:cs="Times New Roman"/>
          <w:sz w:val="24"/>
          <w:szCs w:val="24"/>
        </w:rPr>
      </w:pPr>
    </w:p>
    <w:p w14:paraId="65D50E98" w14:textId="77777777" w:rsidR="008A5596" w:rsidRPr="005D239B" w:rsidRDefault="008A5596" w:rsidP="008A5596">
      <w:pPr>
        <w:spacing w:after="0" w:line="240" w:lineRule="auto"/>
        <w:jc w:val="both"/>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Intervento 14 Implementazione del nuovo Sistema Informativo Unitario della programmazione2014/2020</w:t>
      </w:r>
    </w:p>
    <w:p w14:paraId="0398863D" w14:textId="428BB998" w:rsidR="00142C17" w:rsidRPr="005D239B" w:rsidRDefault="00142C17" w:rsidP="00142C17">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 xml:space="preserve">Le attività preliminari si sono concluse, è stata ultimata la realizzazione dell'Anagrafe Unica ed il </w:t>
      </w:r>
      <w:r w:rsidRPr="005D239B">
        <w:rPr>
          <w:rFonts w:asciiTheme="majorHAnsi" w:eastAsia="Times New Roman" w:hAnsiTheme="majorHAnsi" w:cs="Arial"/>
          <w:i/>
          <w:sz w:val="24"/>
          <w:szCs w:val="24"/>
        </w:rPr>
        <w:t>global design</w:t>
      </w:r>
      <w:r w:rsidRPr="005D239B">
        <w:rPr>
          <w:rFonts w:asciiTheme="majorHAnsi" w:eastAsia="Times New Roman" w:hAnsiTheme="majorHAnsi" w:cs="Arial"/>
          <w:sz w:val="24"/>
          <w:szCs w:val="24"/>
        </w:rPr>
        <w:t xml:space="preserve">. Sono stati realizzati i servizi di integrazione con il protocollo regionale. Sono stati realizzati e rilasciati in produzione il modulo di gestione accessi e deleghe ed il modulo di presentazione istanze FESR, è stato collaudato il modulo di gestione istruttoria per le domande FESR. Sono stati pubblicati e configurati i primi bandi FESR e le relative domande di sostegno sono state presentate alle SRA competenti attraverso l’utilizzo del SIU. Proseguono le attività di analisi relativamente al FSE. </w:t>
      </w:r>
    </w:p>
    <w:p w14:paraId="1D8FA42B" w14:textId="77777777" w:rsidR="008A5596" w:rsidRPr="005D239B" w:rsidRDefault="008A5596" w:rsidP="008A5596">
      <w:pPr>
        <w:spacing w:after="0" w:line="240" w:lineRule="auto"/>
        <w:jc w:val="both"/>
        <w:rPr>
          <w:rFonts w:asciiTheme="majorHAnsi" w:eastAsia="Times New Roman" w:hAnsiTheme="majorHAnsi" w:cs="Times New Roman"/>
          <w:b/>
          <w:sz w:val="24"/>
          <w:szCs w:val="24"/>
        </w:rPr>
      </w:pPr>
    </w:p>
    <w:p w14:paraId="3819163B" w14:textId="77777777" w:rsidR="00401691" w:rsidRPr="005D239B" w:rsidRDefault="00401691" w:rsidP="00401691">
      <w:pPr>
        <w:spacing w:after="0" w:line="240" w:lineRule="auto"/>
        <w:jc w:val="both"/>
        <w:rPr>
          <w:rFonts w:asciiTheme="majorHAnsi" w:hAnsiTheme="majorHAnsi" w:cs="Arial"/>
          <w:b/>
          <w:sz w:val="24"/>
          <w:szCs w:val="24"/>
        </w:rPr>
      </w:pPr>
    </w:p>
    <w:p w14:paraId="35769580" w14:textId="77777777" w:rsidR="00401691" w:rsidRPr="005D239B" w:rsidRDefault="00401691" w:rsidP="00401691">
      <w:pPr>
        <w:spacing w:after="0" w:line="240" w:lineRule="auto"/>
        <w:jc w:val="both"/>
        <w:rPr>
          <w:rFonts w:asciiTheme="majorHAnsi" w:hAnsiTheme="majorHAnsi" w:cs="Arial"/>
          <w:b/>
          <w:sz w:val="24"/>
          <w:szCs w:val="24"/>
        </w:rPr>
      </w:pPr>
      <w:r w:rsidRPr="005D239B">
        <w:rPr>
          <w:rFonts w:asciiTheme="majorHAnsi" w:hAnsiTheme="majorHAnsi" w:cs="Arial"/>
          <w:b/>
          <w:sz w:val="24"/>
          <w:szCs w:val="24"/>
        </w:rPr>
        <w:t>Intervento 15 Sistema Controlli: stesura di strumenti di interpretazione normativa e di strumenti procedurali</w:t>
      </w:r>
    </w:p>
    <w:p w14:paraId="21520E98" w14:textId="2F826658" w:rsidR="00401691" w:rsidRPr="005D239B" w:rsidRDefault="00857B13" w:rsidP="0040169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Arial"/>
          <w:sz w:val="24"/>
          <w:szCs w:val="24"/>
        </w:rPr>
      </w:pPr>
      <w:r w:rsidRPr="005D239B">
        <w:rPr>
          <w:rFonts w:asciiTheme="majorHAnsi" w:hAnsiTheme="majorHAnsi" w:cs="Arial"/>
          <w:sz w:val="24"/>
          <w:szCs w:val="24"/>
        </w:rPr>
        <w:t xml:space="preserve">Per quanto riguarda il POR FSE </w:t>
      </w:r>
      <w:r w:rsidR="00A06149">
        <w:rPr>
          <w:rFonts w:asciiTheme="majorHAnsi" w:hAnsiTheme="majorHAnsi" w:cs="Arial"/>
          <w:sz w:val="24"/>
          <w:szCs w:val="24"/>
        </w:rPr>
        <w:t>è stato approvato il SI.GE.CO. e</w:t>
      </w:r>
      <w:r w:rsidR="00401691" w:rsidRPr="005D239B">
        <w:rPr>
          <w:rFonts w:asciiTheme="majorHAnsi" w:hAnsiTheme="majorHAnsi" w:cs="Arial"/>
          <w:sz w:val="24"/>
          <w:szCs w:val="24"/>
        </w:rPr>
        <w:t xml:space="preserve"> il Testo Unico dei Beneficiari.</w:t>
      </w:r>
    </w:p>
    <w:p w14:paraId="64068E72" w14:textId="140C1A5B" w:rsidR="00401691" w:rsidRPr="005D239B" w:rsidRDefault="00401691" w:rsidP="0040169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Arial"/>
          <w:sz w:val="24"/>
          <w:szCs w:val="24"/>
        </w:rPr>
      </w:pPr>
      <w:r w:rsidRPr="005D239B">
        <w:rPr>
          <w:rFonts w:asciiTheme="majorHAnsi" w:hAnsiTheme="majorHAnsi" w:cs="Arial"/>
          <w:sz w:val="24"/>
          <w:szCs w:val="24"/>
        </w:rPr>
        <w:t xml:space="preserve">Per la parte FESR, la messa in rete di linee guida, </w:t>
      </w:r>
      <w:r w:rsidRPr="005D239B">
        <w:rPr>
          <w:rFonts w:asciiTheme="majorHAnsi" w:hAnsiTheme="majorHAnsi" w:cs="Arial"/>
          <w:i/>
          <w:sz w:val="24"/>
          <w:szCs w:val="24"/>
        </w:rPr>
        <w:t>check-list</w:t>
      </w:r>
      <w:r w:rsidRPr="005D239B">
        <w:rPr>
          <w:rFonts w:asciiTheme="majorHAnsi" w:hAnsiTheme="majorHAnsi" w:cs="Arial"/>
          <w:sz w:val="24"/>
          <w:szCs w:val="24"/>
        </w:rPr>
        <w:t xml:space="preserve"> di controllo e altra strumentazione di supporto per l’effettuazione, la registrazione e l’elaborazione dei controlli amministrativi e in loco da parte delle </w:t>
      </w:r>
      <w:r w:rsidR="004F4E03" w:rsidRPr="005D239B">
        <w:rPr>
          <w:rFonts w:asciiTheme="majorHAnsi" w:hAnsiTheme="majorHAnsi" w:cs="Arial"/>
          <w:sz w:val="24"/>
          <w:szCs w:val="24"/>
        </w:rPr>
        <w:t xml:space="preserve">SRA </w:t>
      </w:r>
      <w:r w:rsidRPr="005D239B">
        <w:rPr>
          <w:rFonts w:asciiTheme="majorHAnsi" w:hAnsiTheme="majorHAnsi" w:cs="Arial"/>
          <w:sz w:val="24"/>
          <w:szCs w:val="24"/>
        </w:rPr>
        <w:t xml:space="preserve">segue logicamente e temporalmente l’implementazione dei bandi per la selezione degli operazioni relative alle Azioni e agli Assi del POR FESR. </w:t>
      </w:r>
    </w:p>
    <w:p w14:paraId="6A939237" w14:textId="657B8F8A" w:rsidR="00401691" w:rsidRPr="00C75D75" w:rsidRDefault="00401691" w:rsidP="0040169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Arial"/>
          <w:b/>
          <w:sz w:val="24"/>
          <w:szCs w:val="24"/>
        </w:rPr>
      </w:pPr>
      <w:r w:rsidRPr="00C75D75">
        <w:rPr>
          <w:rFonts w:asciiTheme="majorHAnsi" w:hAnsiTheme="majorHAnsi" w:cs="Arial"/>
          <w:b/>
          <w:sz w:val="24"/>
          <w:szCs w:val="24"/>
        </w:rPr>
        <w:t xml:space="preserve">Stante il ritardo registrato nell’attuazione, </w:t>
      </w:r>
      <w:r w:rsidR="001D3827" w:rsidRPr="00C75D75">
        <w:rPr>
          <w:rFonts w:asciiTheme="majorHAnsi" w:hAnsiTheme="majorHAnsi" w:cs="Arial"/>
          <w:b/>
          <w:sz w:val="24"/>
          <w:szCs w:val="24"/>
        </w:rPr>
        <w:t>la</w:t>
      </w:r>
      <w:r w:rsidR="001D3827" w:rsidRPr="00C75D75">
        <w:rPr>
          <w:rFonts w:asciiTheme="majorHAnsi" w:hAnsiTheme="majorHAnsi" w:cs="Arial"/>
          <w:b/>
          <w:i/>
          <w:sz w:val="24"/>
          <w:szCs w:val="24"/>
        </w:rPr>
        <w:t xml:space="preserve"> dead line</w:t>
      </w:r>
      <w:r w:rsidR="001D3827" w:rsidRPr="00C75D75">
        <w:rPr>
          <w:rFonts w:asciiTheme="majorHAnsi" w:hAnsiTheme="majorHAnsi" w:cs="Arial"/>
          <w:b/>
          <w:sz w:val="24"/>
          <w:szCs w:val="24"/>
        </w:rPr>
        <w:t xml:space="preserve"> </w:t>
      </w:r>
      <w:r w:rsidRPr="00C75D75">
        <w:rPr>
          <w:rFonts w:asciiTheme="majorHAnsi" w:hAnsiTheme="majorHAnsi" w:cs="Arial"/>
          <w:b/>
          <w:sz w:val="24"/>
          <w:szCs w:val="24"/>
        </w:rPr>
        <w:t>è ragionevolmente prevista al 31 dicembre 2016.</w:t>
      </w:r>
    </w:p>
    <w:p w14:paraId="1B6E639E" w14:textId="77777777" w:rsidR="008A5596" w:rsidRPr="005D239B" w:rsidRDefault="008A5596" w:rsidP="008A5596">
      <w:pPr>
        <w:spacing w:after="0" w:line="240" w:lineRule="auto"/>
        <w:jc w:val="both"/>
        <w:rPr>
          <w:rFonts w:asciiTheme="majorHAnsi" w:eastAsia="Times New Roman" w:hAnsiTheme="majorHAnsi" w:cs="Times New Roman"/>
          <w:b/>
          <w:sz w:val="24"/>
          <w:szCs w:val="24"/>
        </w:rPr>
      </w:pPr>
    </w:p>
    <w:p w14:paraId="2DECCB90" w14:textId="77777777" w:rsidR="00401691" w:rsidRPr="005D239B" w:rsidRDefault="00401691" w:rsidP="00401691">
      <w:pPr>
        <w:spacing w:after="0" w:line="240" w:lineRule="auto"/>
        <w:jc w:val="both"/>
        <w:rPr>
          <w:rFonts w:asciiTheme="majorHAnsi" w:hAnsiTheme="majorHAnsi" w:cs="Arial"/>
          <w:b/>
          <w:sz w:val="24"/>
          <w:szCs w:val="24"/>
        </w:rPr>
      </w:pPr>
    </w:p>
    <w:p w14:paraId="704A0CA1" w14:textId="77777777" w:rsidR="00401691" w:rsidRPr="005D239B" w:rsidRDefault="00401691" w:rsidP="00401691">
      <w:pPr>
        <w:spacing w:after="0" w:line="240" w:lineRule="auto"/>
        <w:jc w:val="both"/>
        <w:rPr>
          <w:rFonts w:asciiTheme="majorHAnsi" w:hAnsiTheme="majorHAnsi" w:cs="Arial"/>
          <w:b/>
          <w:sz w:val="24"/>
          <w:szCs w:val="24"/>
        </w:rPr>
      </w:pPr>
      <w:r w:rsidRPr="005D239B">
        <w:rPr>
          <w:rFonts w:asciiTheme="majorHAnsi" w:hAnsiTheme="majorHAnsi" w:cs="Arial"/>
          <w:b/>
          <w:sz w:val="24"/>
          <w:szCs w:val="24"/>
        </w:rPr>
        <w:t>Intervento 17 Aiuti di Stato: misure per reingegnerizzazione del Registro Nazionale degli Aiuti e attivazione sito web dedicato</w:t>
      </w:r>
    </w:p>
    <w:p w14:paraId="432146F2" w14:textId="3CAE8D66" w:rsidR="00401691" w:rsidRPr="005D239B" w:rsidRDefault="00401691" w:rsidP="0040169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Arial"/>
          <w:sz w:val="24"/>
          <w:szCs w:val="24"/>
        </w:rPr>
      </w:pPr>
      <w:r w:rsidRPr="005D239B">
        <w:rPr>
          <w:rFonts w:asciiTheme="majorHAnsi" w:hAnsiTheme="majorHAnsi" w:cs="Arial"/>
          <w:sz w:val="24"/>
          <w:szCs w:val="24"/>
        </w:rPr>
        <w:t xml:space="preserve">È stato attivato il sito </w:t>
      </w:r>
      <w:r w:rsidRPr="005D239B">
        <w:rPr>
          <w:rFonts w:asciiTheme="majorHAnsi" w:hAnsiTheme="majorHAnsi" w:cs="Arial"/>
          <w:i/>
          <w:sz w:val="24"/>
          <w:szCs w:val="24"/>
        </w:rPr>
        <w:t>web</w:t>
      </w:r>
      <w:r w:rsidRPr="005D239B">
        <w:rPr>
          <w:rFonts w:asciiTheme="majorHAnsi" w:hAnsiTheme="majorHAnsi" w:cs="Arial"/>
          <w:sz w:val="24"/>
          <w:szCs w:val="24"/>
        </w:rPr>
        <w:t xml:space="preserve"> regionale dedicato agli aiuti di Stato concessi dalla Regione del Veneto e si partecipa ai lavori dei Tavoli nazionali per l'istituzione del nuovo Registro nazionale degli aiuti di Stato (RNA) in fase di realizzazione e la cui operatività è prevista a partire dal 01/01/2017. In data 30/06/2016, a Roma, è</w:t>
      </w:r>
      <w:r w:rsidR="00844E70">
        <w:rPr>
          <w:rFonts w:asciiTheme="majorHAnsi" w:hAnsiTheme="majorHAnsi" w:cs="Arial"/>
          <w:sz w:val="24"/>
          <w:szCs w:val="24"/>
        </w:rPr>
        <w:t xml:space="preserve"> stato presentato dal MISE</w:t>
      </w:r>
      <w:r w:rsidRPr="005D239B">
        <w:rPr>
          <w:rFonts w:asciiTheme="majorHAnsi" w:hAnsiTheme="majorHAnsi" w:cs="Arial"/>
          <w:sz w:val="24"/>
          <w:szCs w:val="24"/>
        </w:rPr>
        <w:t xml:space="preserve"> il Registro degli Aiuti con l’illustrazione del processo di reingegnerizzazione, fino ad oggi attuato, e delle funzionalità disponibili.</w:t>
      </w:r>
    </w:p>
    <w:p w14:paraId="6EAB9D5C" w14:textId="77777777" w:rsidR="00401691" w:rsidRPr="005D239B" w:rsidRDefault="00401691" w:rsidP="00401691">
      <w:pPr>
        <w:spacing w:after="0" w:line="240" w:lineRule="auto"/>
        <w:jc w:val="both"/>
        <w:rPr>
          <w:rFonts w:asciiTheme="majorHAnsi" w:hAnsiTheme="majorHAnsi" w:cs="Arial"/>
          <w:sz w:val="24"/>
          <w:szCs w:val="24"/>
        </w:rPr>
      </w:pPr>
    </w:p>
    <w:p w14:paraId="28AE65DB" w14:textId="77777777" w:rsidR="008A5596" w:rsidRPr="005D239B" w:rsidRDefault="008A5596" w:rsidP="008A5596">
      <w:pPr>
        <w:spacing w:after="0" w:line="240" w:lineRule="auto"/>
        <w:jc w:val="both"/>
        <w:rPr>
          <w:rFonts w:asciiTheme="majorHAnsi" w:eastAsia="Times New Roman" w:hAnsiTheme="majorHAnsi" w:cs="Times New Roman"/>
          <w:sz w:val="24"/>
          <w:szCs w:val="24"/>
        </w:rPr>
      </w:pPr>
    </w:p>
    <w:p w14:paraId="458650EF" w14:textId="77777777" w:rsidR="008A5596" w:rsidRPr="005D239B" w:rsidRDefault="008A5596" w:rsidP="008A5596">
      <w:pPr>
        <w:spacing w:after="0" w:line="240" w:lineRule="auto"/>
        <w:jc w:val="both"/>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Intervento 18 Appalti pubblici: interventi di supporto per la soluzione di problematiche tecnico-amministrative e creazione sistema di condivisione</w:t>
      </w:r>
    </w:p>
    <w:p w14:paraId="5BD0EAD3" w14:textId="77777777" w:rsidR="00142C17" w:rsidRPr="005D239B" w:rsidRDefault="00142C17" w:rsidP="00D662E2">
      <w:pPr>
        <w:pBdr>
          <w:top w:val="single" w:sz="4" w:space="1" w:color="auto"/>
          <w:left w:val="single" w:sz="4" w:space="0"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a) Attività di cui ai punti 2 e 4 dell’intervento n. 18 del PRA</w:t>
      </w:r>
    </w:p>
    <w:p w14:paraId="6A77C774" w14:textId="77777777" w:rsidR="001C672A" w:rsidRDefault="00142C17" w:rsidP="00D662E2">
      <w:pPr>
        <w:pBdr>
          <w:top w:val="single" w:sz="4" w:space="1" w:color="auto"/>
          <w:left w:val="single" w:sz="4" w:space="0"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 xml:space="preserve">Il modello di convenzione tipo per i servizi di progettazione (punto 2) è stato adeguato </w:t>
      </w:r>
      <w:r w:rsidR="001D3827">
        <w:rPr>
          <w:rFonts w:asciiTheme="majorHAnsi" w:eastAsia="Times New Roman" w:hAnsiTheme="majorHAnsi" w:cs="Arial"/>
          <w:sz w:val="24"/>
          <w:szCs w:val="24"/>
        </w:rPr>
        <w:t xml:space="preserve">a seguito del </w:t>
      </w:r>
      <w:r w:rsidRPr="005D239B">
        <w:rPr>
          <w:rFonts w:asciiTheme="majorHAnsi" w:eastAsia="Times New Roman" w:hAnsiTheme="majorHAnsi" w:cs="Arial"/>
          <w:sz w:val="24"/>
          <w:szCs w:val="24"/>
        </w:rPr>
        <w:t>D. Lgs. 50/2016</w:t>
      </w:r>
      <w:r w:rsidR="001D3827" w:rsidRPr="001D3827">
        <w:rPr>
          <w:rFonts w:asciiTheme="majorHAnsi" w:eastAsia="Times New Roman" w:hAnsiTheme="majorHAnsi" w:cs="Arial"/>
          <w:sz w:val="24"/>
          <w:szCs w:val="24"/>
        </w:rPr>
        <w:t xml:space="preserve">. </w:t>
      </w:r>
      <w:r w:rsidR="00187DDD">
        <w:rPr>
          <w:rFonts w:asciiTheme="majorHAnsi" w:eastAsia="Times New Roman" w:hAnsiTheme="majorHAnsi" w:cs="Arial"/>
          <w:sz w:val="24"/>
          <w:szCs w:val="24"/>
        </w:rPr>
        <w:t xml:space="preserve">Seguirà la </w:t>
      </w:r>
      <w:r w:rsidRPr="005D239B">
        <w:rPr>
          <w:rFonts w:asciiTheme="majorHAnsi" w:eastAsia="Times New Roman" w:hAnsiTheme="majorHAnsi" w:cs="Arial"/>
          <w:sz w:val="24"/>
          <w:szCs w:val="24"/>
        </w:rPr>
        <w:t>valuta</w:t>
      </w:r>
      <w:r w:rsidR="00187DDD">
        <w:rPr>
          <w:rFonts w:asciiTheme="majorHAnsi" w:eastAsia="Times New Roman" w:hAnsiTheme="majorHAnsi" w:cs="Arial"/>
          <w:sz w:val="24"/>
          <w:szCs w:val="24"/>
        </w:rPr>
        <w:t>zione di</w:t>
      </w:r>
      <w:r w:rsidRPr="005D239B">
        <w:rPr>
          <w:rFonts w:asciiTheme="majorHAnsi" w:eastAsia="Times New Roman" w:hAnsiTheme="majorHAnsi" w:cs="Arial"/>
          <w:sz w:val="24"/>
          <w:szCs w:val="24"/>
        </w:rPr>
        <w:t xml:space="preserve"> coerenza con le </w:t>
      </w:r>
      <w:r w:rsidR="00187DDD">
        <w:rPr>
          <w:rFonts w:asciiTheme="majorHAnsi" w:eastAsia="Times New Roman" w:hAnsiTheme="majorHAnsi" w:cs="Arial"/>
          <w:sz w:val="24"/>
          <w:szCs w:val="24"/>
        </w:rPr>
        <w:t>L</w:t>
      </w:r>
      <w:r w:rsidRPr="005D239B">
        <w:rPr>
          <w:rFonts w:asciiTheme="majorHAnsi" w:eastAsia="Times New Roman" w:hAnsiTheme="majorHAnsi" w:cs="Arial"/>
          <w:sz w:val="24"/>
          <w:szCs w:val="24"/>
        </w:rPr>
        <w:t xml:space="preserve">inee guida ANAC  relative agli indirizzi generali sull’affidamento dei servizi attinenti all’architettura e </w:t>
      </w:r>
      <w:r w:rsidR="00C75D75">
        <w:rPr>
          <w:rFonts w:asciiTheme="majorHAnsi" w:eastAsia="Times New Roman" w:hAnsiTheme="majorHAnsi" w:cs="Arial"/>
          <w:sz w:val="24"/>
          <w:szCs w:val="24"/>
        </w:rPr>
        <w:t>all’ingegneria</w:t>
      </w:r>
      <w:r w:rsidR="001C672A">
        <w:rPr>
          <w:rFonts w:asciiTheme="majorHAnsi" w:eastAsia="Times New Roman" w:hAnsiTheme="majorHAnsi" w:cs="Arial"/>
          <w:sz w:val="24"/>
          <w:szCs w:val="24"/>
        </w:rPr>
        <w:t>.</w:t>
      </w:r>
    </w:p>
    <w:p w14:paraId="78CD7CD0" w14:textId="7846DC40" w:rsidR="00142C17" w:rsidRPr="001C672A" w:rsidRDefault="001C672A" w:rsidP="00D662E2">
      <w:pPr>
        <w:pBdr>
          <w:top w:val="single" w:sz="4" w:space="1" w:color="auto"/>
          <w:left w:val="single" w:sz="4" w:space="0" w:color="auto"/>
          <w:bottom w:val="single" w:sz="4" w:space="1" w:color="auto"/>
          <w:right w:val="single" w:sz="4" w:space="4" w:color="auto"/>
        </w:pBdr>
        <w:spacing w:after="0" w:line="240" w:lineRule="auto"/>
        <w:jc w:val="both"/>
        <w:rPr>
          <w:rFonts w:asciiTheme="majorHAnsi" w:eastAsia="Times New Roman" w:hAnsiTheme="majorHAnsi" w:cs="Arial"/>
          <w:b/>
          <w:sz w:val="24"/>
          <w:szCs w:val="24"/>
        </w:rPr>
      </w:pPr>
      <w:r w:rsidRPr="001C672A">
        <w:rPr>
          <w:rFonts w:asciiTheme="majorHAnsi" w:eastAsia="Times New Roman" w:hAnsiTheme="majorHAnsi" w:cs="Arial"/>
          <w:b/>
          <w:sz w:val="24"/>
          <w:szCs w:val="24"/>
        </w:rPr>
        <w:t xml:space="preserve">Si </w:t>
      </w:r>
      <w:r w:rsidR="00142C17" w:rsidRPr="001C672A">
        <w:rPr>
          <w:rFonts w:asciiTheme="majorHAnsi" w:eastAsia="Times New Roman" w:hAnsiTheme="majorHAnsi" w:cs="Arial"/>
          <w:b/>
          <w:sz w:val="24"/>
          <w:szCs w:val="24"/>
        </w:rPr>
        <w:t>stima</w:t>
      </w:r>
      <w:r w:rsidRPr="001C672A">
        <w:rPr>
          <w:rFonts w:asciiTheme="majorHAnsi" w:eastAsia="Times New Roman" w:hAnsiTheme="majorHAnsi" w:cs="Arial"/>
          <w:b/>
          <w:sz w:val="24"/>
          <w:szCs w:val="24"/>
        </w:rPr>
        <w:t xml:space="preserve"> il completamento delle attività a</w:t>
      </w:r>
      <w:r w:rsidR="00187DDD" w:rsidRPr="001C672A">
        <w:rPr>
          <w:rFonts w:asciiTheme="majorHAnsi" w:eastAsia="Times New Roman" w:hAnsiTheme="majorHAnsi" w:cs="Arial"/>
          <w:b/>
          <w:sz w:val="24"/>
          <w:szCs w:val="24"/>
        </w:rPr>
        <w:t>l 31.12.</w:t>
      </w:r>
      <w:r w:rsidR="00142C17" w:rsidRPr="001C672A">
        <w:rPr>
          <w:rFonts w:asciiTheme="majorHAnsi" w:eastAsia="Times New Roman" w:hAnsiTheme="majorHAnsi" w:cs="Arial"/>
          <w:b/>
          <w:sz w:val="24"/>
          <w:szCs w:val="24"/>
        </w:rPr>
        <w:t>2016.</w:t>
      </w:r>
    </w:p>
    <w:p w14:paraId="7DFDA64A" w14:textId="77777777" w:rsidR="00142C17" w:rsidRPr="005D239B" w:rsidRDefault="00142C17" w:rsidP="00D662E2">
      <w:pPr>
        <w:pBdr>
          <w:top w:val="single" w:sz="4" w:space="1" w:color="auto"/>
          <w:left w:val="single" w:sz="4" w:space="0"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p>
    <w:p w14:paraId="06E15FC5" w14:textId="77777777" w:rsidR="00142C17" w:rsidRPr="005D239B" w:rsidRDefault="00142C17" w:rsidP="00D662E2">
      <w:pPr>
        <w:pBdr>
          <w:top w:val="single" w:sz="4" w:space="1" w:color="auto"/>
          <w:left w:val="single" w:sz="4" w:space="0"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b) Attività di cui ai punti 1, 3, 5, 6, 7 e 8 dell’intervento n. 18 del PRA</w:t>
      </w:r>
    </w:p>
    <w:p w14:paraId="0F23B7D9" w14:textId="77777777" w:rsidR="00142C17" w:rsidRPr="005D239B" w:rsidRDefault="00142C17" w:rsidP="00D662E2">
      <w:pPr>
        <w:pBdr>
          <w:top w:val="single" w:sz="4" w:space="1" w:color="auto"/>
          <w:left w:val="single" w:sz="4" w:space="0"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 xml:space="preserve">Queste attività sono state perfezionate, ma per loro natura sono  sottoposte ad un aggiornamento continuo o periodico.  </w:t>
      </w:r>
    </w:p>
    <w:p w14:paraId="74786121" w14:textId="0F734CC3" w:rsidR="00D662E2" w:rsidRPr="005D239B" w:rsidRDefault="00142C17" w:rsidP="00D662E2">
      <w:pPr>
        <w:pBdr>
          <w:top w:val="single" w:sz="4" w:space="1" w:color="auto"/>
          <w:left w:val="single" w:sz="4" w:space="0"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 xml:space="preserve">In particolare per le attività di cui al punto 5 (capitolati tecnici tipo per varie tipologie di opere) si stanno valutando i necessari aggiornamenti, anche alla luce delle nuove disposizioni in materia di </w:t>
      </w:r>
      <w:r w:rsidRPr="005D239B">
        <w:rPr>
          <w:rFonts w:asciiTheme="majorHAnsi" w:eastAsia="Times New Roman" w:hAnsiTheme="majorHAnsi" w:cs="Arial"/>
          <w:i/>
          <w:sz w:val="24"/>
          <w:szCs w:val="24"/>
        </w:rPr>
        <w:t>green economy</w:t>
      </w:r>
      <w:r w:rsidRPr="005D239B">
        <w:rPr>
          <w:rFonts w:asciiTheme="majorHAnsi" w:eastAsia="Times New Roman" w:hAnsiTheme="majorHAnsi" w:cs="Arial"/>
          <w:sz w:val="24"/>
          <w:szCs w:val="24"/>
        </w:rPr>
        <w:t xml:space="preserve">.   </w:t>
      </w:r>
    </w:p>
    <w:p w14:paraId="63A47C6D" w14:textId="77777777" w:rsidR="00142C17" w:rsidRPr="005D239B" w:rsidRDefault="00142C17" w:rsidP="00142C17">
      <w:pPr>
        <w:spacing w:after="0" w:line="240" w:lineRule="auto"/>
        <w:jc w:val="both"/>
        <w:rPr>
          <w:rFonts w:asciiTheme="majorHAnsi" w:eastAsia="Times New Roman" w:hAnsiTheme="majorHAnsi" w:cs="Arial"/>
          <w:sz w:val="24"/>
          <w:szCs w:val="24"/>
        </w:rPr>
      </w:pPr>
    </w:p>
    <w:p w14:paraId="1B91E003" w14:textId="77777777" w:rsidR="008A5596" w:rsidRPr="005D239B" w:rsidRDefault="008A5596" w:rsidP="008A5596">
      <w:pPr>
        <w:spacing w:after="0" w:line="240" w:lineRule="auto"/>
        <w:jc w:val="both"/>
        <w:rPr>
          <w:rFonts w:asciiTheme="majorHAnsi" w:eastAsia="Times New Roman" w:hAnsiTheme="majorHAnsi" w:cs="Times New Roman"/>
          <w:sz w:val="24"/>
          <w:szCs w:val="24"/>
        </w:rPr>
      </w:pPr>
    </w:p>
    <w:p w14:paraId="464B9733" w14:textId="77777777" w:rsidR="008A5596" w:rsidRPr="005D239B" w:rsidRDefault="008A5596" w:rsidP="008A5596">
      <w:pPr>
        <w:spacing w:after="0" w:line="240" w:lineRule="auto"/>
        <w:jc w:val="both"/>
        <w:rPr>
          <w:rFonts w:asciiTheme="majorHAnsi" w:eastAsia="Times New Roman" w:hAnsiTheme="majorHAnsi" w:cs="Times New Roman"/>
          <w:b/>
          <w:sz w:val="24"/>
          <w:szCs w:val="24"/>
        </w:rPr>
      </w:pPr>
      <w:r w:rsidRPr="005D239B">
        <w:rPr>
          <w:rFonts w:asciiTheme="majorHAnsi" w:eastAsia="Times New Roman" w:hAnsiTheme="majorHAnsi" w:cs="Times New Roman"/>
          <w:b/>
          <w:sz w:val="24"/>
          <w:szCs w:val="24"/>
        </w:rPr>
        <w:t>Intervento 19 Sistema di valutazione interno del personale con collegamento degli obiettivi del personale alle performance dei PO</w:t>
      </w:r>
    </w:p>
    <w:p w14:paraId="5CF45DA3" w14:textId="77777777" w:rsidR="008A5596" w:rsidRPr="005D239B" w:rsidRDefault="008A5596" w:rsidP="008A5596">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sz w:val="24"/>
          <w:szCs w:val="24"/>
        </w:rPr>
      </w:pPr>
      <w:r w:rsidRPr="005D239B">
        <w:rPr>
          <w:rFonts w:asciiTheme="majorHAnsi" w:eastAsia="Times New Roman" w:hAnsiTheme="majorHAnsi" w:cs="Times New Roman"/>
          <w:sz w:val="24"/>
          <w:szCs w:val="24"/>
        </w:rPr>
        <w:t>Alcune Strutture regionali hanno autonomamente assegnato obiettivi coincidenti con le performance di realizzazione dei Programmi Operativi. L'impegno è quello di rendere sistematico quanto finora realizzato in via sperimentale in maniera sporadica.</w:t>
      </w:r>
    </w:p>
    <w:p w14:paraId="3BC2E218" w14:textId="77777777" w:rsidR="001E288C" w:rsidRDefault="001E288C" w:rsidP="00621D2D">
      <w:pPr>
        <w:spacing w:after="120" w:line="240" w:lineRule="auto"/>
        <w:jc w:val="both"/>
        <w:outlineLvl w:val="0"/>
        <w:rPr>
          <w:rFonts w:asciiTheme="majorHAnsi" w:hAnsiTheme="majorHAnsi" w:cs="Times New Roman"/>
          <w:position w:val="1"/>
          <w:sz w:val="24"/>
          <w:szCs w:val="24"/>
        </w:rPr>
      </w:pPr>
    </w:p>
    <w:p w14:paraId="517C7EE2" w14:textId="27064A9B" w:rsidR="00A935AC" w:rsidRDefault="00A935AC">
      <w:pPr>
        <w:rPr>
          <w:rFonts w:asciiTheme="majorHAnsi" w:hAnsiTheme="majorHAnsi" w:cs="Times New Roman"/>
          <w:position w:val="1"/>
          <w:sz w:val="24"/>
          <w:szCs w:val="24"/>
        </w:rPr>
      </w:pPr>
      <w:r>
        <w:rPr>
          <w:rFonts w:asciiTheme="majorHAnsi" w:hAnsiTheme="majorHAnsi" w:cs="Times New Roman"/>
          <w:position w:val="1"/>
          <w:sz w:val="24"/>
          <w:szCs w:val="24"/>
        </w:rPr>
        <w:br w:type="page"/>
      </w:r>
    </w:p>
    <w:p w14:paraId="3768E66A" w14:textId="77777777" w:rsidR="001C672A" w:rsidRDefault="001C672A" w:rsidP="00621D2D">
      <w:pPr>
        <w:spacing w:after="120" w:line="240" w:lineRule="auto"/>
        <w:jc w:val="both"/>
        <w:outlineLvl w:val="0"/>
        <w:rPr>
          <w:rFonts w:asciiTheme="majorHAnsi" w:hAnsiTheme="majorHAnsi" w:cs="Times New Roman"/>
          <w:position w:val="1"/>
          <w:sz w:val="24"/>
          <w:szCs w:val="24"/>
        </w:rPr>
      </w:pPr>
    </w:p>
    <w:p w14:paraId="051C527B" w14:textId="38F8350B" w:rsidR="00621D2D" w:rsidRPr="005D239B" w:rsidRDefault="00621D2D" w:rsidP="00621D2D">
      <w:pPr>
        <w:spacing w:after="120" w:line="240" w:lineRule="auto"/>
        <w:jc w:val="both"/>
        <w:outlineLvl w:val="0"/>
        <w:rPr>
          <w:rFonts w:asciiTheme="majorHAnsi" w:eastAsia="Calibri" w:hAnsiTheme="majorHAnsi" w:cs="Times New Roman"/>
          <w:b/>
          <w:sz w:val="24"/>
          <w:szCs w:val="24"/>
          <w:u w:val="single"/>
        </w:rPr>
      </w:pPr>
      <w:r w:rsidRPr="005D239B">
        <w:rPr>
          <w:rFonts w:asciiTheme="majorHAnsi" w:eastAsia="Calibri" w:hAnsiTheme="majorHAnsi" w:cs="Times New Roman"/>
          <w:b/>
          <w:sz w:val="24"/>
          <w:szCs w:val="24"/>
          <w:u w:val="single"/>
        </w:rPr>
        <w:t xml:space="preserve">Sezione 2 - </w:t>
      </w:r>
      <w:r w:rsidR="00E166CD">
        <w:rPr>
          <w:rFonts w:asciiTheme="majorHAnsi" w:eastAsia="Calibri" w:hAnsiTheme="majorHAnsi" w:cs="Times New Roman"/>
          <w:b/>
          <w:sz w:val="24"/>
          <w:szCs w:val="24"/>
          <w:u w:val="single"/>
        </w:rPr>
        <w:t>I</w:t>
      </w:r>
      <w:r w:rsidRPr="005D239B">
        <w:rPr>
          <w:rFonts w:asciiTheme="majorHAnsi" w:eastAsia="Calibri" w:hAnsiTheme="majorHAnsi" w:cs="Times New Roman"/>
          <w:b/>
          <w:sz w:val="24"/>
          <w:szCs w:val="24"/>
          <w:u w:val="single"/>
        </w:rPr>
        <w:t xml:space="preserve"> risultati conseguiti dagli interventi</w:t>
      </w:r>
    </w:p>
    <w:p w14:paraId="2EDAE53B" w14:textId="77777777" w:rsidR="00B919F4" w:rsidRPr="005D239B" w:rsidRDefault="00B919F4" w:rsidP="00B919F4">
      <w:pPr>
        <w:spacing w:after="0" w:line="240" w:lineRule="auto"/>
        <w:jc w:val="both"/>
        <w:rPr>
          <w:rFonts w:asciiTheme="majorHAnsi" w:eastAsia="Times New Roman" w:hAnsiTheme="majorHAnsi" w:cs="Arial"/>
          <w:b/>
          <w:sz w:val="24"/>
          <w:szCs w:val="24"/>
        </w:rPr>
      </w:pPr>
    </w:p>
    <w:p w14:paraId="1E98CC19" w14:textId="77777777" w:rsidR="00B919F4" w:rsidRPr="005D239B" w:rsidRDefault="00B919F4" w:rsidP="00B919F4">
      <w:pPr>
        <w:spacing w:after="0" w:line="240" w:lineRule="auto"/>
        <w:jc w:val="both"/>
        <w:rPr>
          <w:rFonts w:asciiTheme="majorHAnsi" w:eastAsia="Times New Roman" w:hAnsiTheme="majorHAnsi" w:cs="Arial"/>
          <w:b/>
          <w:sz w:val="24"/>
          <w:szCs w:val="24"/>
        </w:rPr>
      </w:pPr>
      <w:r w:rsidRPr="005D239B">
        <w:rPr>
          <w:rFonts w:asciiTheme="majorHAnsi" w:eastAsia="Times New Roman" w:hAnsiTheme="majorHAnsi" w:cs="Arial"/>
          <w:b/>
          <w:sz w:val="24"/>
          <w:szCs w:val="24"/>
        </w:rPr>
        <w:t xml:space="preserve">Interventi 10 Integrazione del SIU per la presentazione telematica delle domande di contributo </w:t>
      </w:r>
    </w:p>
    <w:p w14:paraId="57659AF3" w14:textId="0814D339" w:rsidR="00B919F4" w:rsidRPr="005D239B" w:rsidRDefault="00B919F4" w:rsidP="00B919F4">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L’intervento si è concluso con il rilascio in produzione di tutte le componenti SIU necessarie alla presentazione di istanze da parte dei beneficiari del programma. All’inizio dell’estate sono stati configurati numerosi bandi di finanziamento ed erogato supporto alle SRA (Ricerca e Innovazione, Turismo, Industria e Artigianato, ecc.). Il sistema è stato reso disponibile all’utenza (imprese, enti, professionisti, privati cittadini) ai quali è stato erogato il servizio di assistenza per supportarli nella presentazione delle domande</w:t>
      </w:r>
    </w:p>
    <w:p w14:paraId="20C440C0" w14:textId="77777777" w:rsidR="00621D2D" w:rsidRDefault="00621D2D" w:rsidP="00621D2D">
      <w:pPr>
        <w:spacing w:after="120" w:line="240" w:lineRule="auto"/>
        <w:jc w:val="both"/>
        <w:outlineLvl w:val="0"/>
        <w:rPr>
          <w:rFonts w:asciiTheme="majorHAnsi" w:eastAsia="Calibri" w:hAnsiTheme="majorHAnsi" w:cs="Times New Roman"/>
          <w:b/>
          <w:sz w:val="24"/>
          <w:szCs w:val="24"/>
          <w:u w:val="single"/>
        </w:rPr>
      </w:pPr>
    </w:p>
    <w:p w14:paraId="1CE3EFBA" w14:textId="77777777" w:rsidR="00A935AC" w:rsidRDefault="00A935AC" w:rsidP="00621D2D">
      <w:pPr>
        <w:spacing w:after="120" w:line="240" w:lineRule="auto"/>
        <w:jc w:val="both"/>
        <w:outlineLvl w:val="0"/>
        <w:rPr>
          <w:rFonts w:asciiTheme="majorHAnsi" w:eastAsia="Calibri" w:hAnsiTheme="majorHAnsi" w:cs="Times New Roman"/>
          <w:b/>
          <w:sz w:val="24"/>
          <w:szCs w:val="24"/>
          <w:u w:val="single"/>
        </w:rPr>
      </w:pPr>
    </w:p>
    <w:p w14:paraId="4E5C3CA2" w14:textId="77777777" w:rsidR="00A935AC" w:rsidRPr="005D239B" w:rsidRDefault="00A935AC" w:rsidP="00621D2D">
      <w:pPr>
        <w:spacing w:after="120" w:line="240" w:lineRule="auto"/>
        <w:jc w:val="both"/>
        <w:outlineLvl w:val="0"/>
        <w:rPr>
          <w:rFonts w:asciiTheme="majorHAnsi" w:eastAsia="Calibri" w:hAnsiTheme="majorHAnsi" w:cs="Times New Roman"/>
          <w:b/>
          <w:sz w:val="24"/>
          <w:szCs w:val="24"/>
          <w:u w:val="single"/>
        </w:rPr>
      </w:pPr>
    </w:p>
    <w:p w14:paraId="5C439CBD" w14:textId="1967D946" w:rsidR="001E288C" w:rsidRPr="005D239B" w:rsidRDefault="00621D2D" w:rsidP="001E288C">
      <w:pPr>
        <w:spacing w:after="120" w:line="240" w:lineRule="auto"/>
        <w:jc w:val="both"/>
        <w:outlineLvl w:val="0"/>
        <w:rPr>
          <w:rFonts w:asciiTheme="majorHAnsi" w:eastAsia="Calibri" w:hAnsiTheme="majorHAnsi" w:cs="Times New Roman"/>
          <w:b/>
          <w:sz w:val="24"/>
          <w:szCs w:val="24"/>
          <w:u w:val="single"/>
        </w:rPr>
      </w:pPr>
      <w:r w:rsidRPr="005D239B">
        <w:rPr>
          <w:rFonts w:asciiTheme="majorHAnsi" w:eastAsia="Calibri" w:hAnsiTheme="majorHAnsi" w:cs="Times New Roman"/>
          <w:b/>
          <w:sz w:val="24"/>
          <w:szCs w:val="24"/>
          <w:u w:val="single"/>
        </w:rPr>
        <w:t xml:space="preserve">Sezione 3 - </w:t>
      </w:r>
      <w:r w:rsidR="00E166CD">
        <w:rPr>
          <w:rFonts w:asciiTheme="majorHAnsi" w:eastAsia="Calibri" w:hAnsiTheme="majorHAnsi" w:cs="Times New Roman"/>
          <w:b/>
          <w:sz w:val="24"/>
          <w:szCs w:val="24"/>
          <w:u w:val="single"/>
        </w:rPr>
        <w:t>I</w:t>
      </w:r>
      <w:r w:rsidRPr="005D239B">
        <w:rPr>
          <w:rFonts w:asciiTheme="majorHAnsi" w:eastAsia="Calibri" w:hAnsiTheme="majorHAnsi" w:cs="Times New Roman"/>
          <w:b/>
          <w:sz w:val="24"/>
          <w:szCs w:val="24"/>
          <w:u w:val="single"/>
        </w:rPr>
        <w:t xml:space="preserve"> principali problemi incontrati dagli interventi.</w:t>
      </w:r>
    </w:p>
    <w:p w14:paraId="7A12B406" w14:textId="77777777" w:rsidR="00D662E2" w:rsidRPr="005D239B" w:rsidRDefault="00D662E2" w:rsidP="001E288C">
      <w:pPr>
        <w:spacing w:after="120" w:line="240" w:lineRule="auto"/>
        <w:jc w:val="both"/>
        <w:outlineLvl w:val="0"/>
        <w:rPr>
          <w:rFonts w:asciiTheme="majorHAnsi" w:eastAsia="Calibri" w:hAnsiTheme="majorHAnsi" w:cs="Times New Roman"/>
          <w:b/>
          <w:sz w:val="24"/>
          <w:szCs w:val="24"/>
          <w:u w:val="single"/>
        </w:rPr>
      </w:pPr>
    </w:p>
    <w:p w14:paraId="3A91448A" w14:textId="7B59251C" w:rsidR="00D662E2" w:rsidRPr="00944255" w:rsidRDefault="00D662E2" w:rsidP="001E288C">
      <w:pPr>
        <w:spacing w:after="120" w:line="240" w:lineRule="auto"/>
        <w:jc w:val="both"/>
        <w:outlineLvl w:val="0"/>
        <w:rPr>
          <w:rFonts w:asciiTheme="majorHAnsi" w:eastAsia="Calibri" w:hAnsiTheme="majorHAnsi" w:cs="Times New Roman"/>
          <w:sz w:val="24"/>
          <w:szCs w:val="24"/>
        </w:rPr>
      </w:pPr>
      <w:r w:rsidRPr="00944255">
        <w:rPr>
          <w:rFonts w:asciiTheme="majorHAnsi" w:eastAsia="Calibri" w:hAnsiTheme="majorHAnsi" w:cs="Times New Roman"/>
          <w:sz w:val="24"/>
          <w:szCs w:val="24"/>
        </w:rPr>
        <w:t>Negli ultimi mesi la Regione del Veneto è stata interessata da una riorganizzazione interna che ha comportato una rivisitazione delle Strutture e delle relative competenze, ancora in fase di definizione.</w:t>
      </w:r>
    </w:p>
    <w:p w14:paraId="758ECE51" w14:textId="5FDCD18B" w:rsidR="008A5596" w:rsidRPr="00A935AC" w:rsidRDefault="008A5596" w:rsidP="001E288C">
      <w:pPr>
        <w:spacing w:after="120" w:line="240" w:lineRule="auto"/>
        <w:jc w:val="both"/>
        <w:outlineLvl w:val="0"/>
        <w:rPr>
          <w:rFonts w:asciiTheme="majorHAnsi" w:eastAsia="Calibri" w:hAnsiTheme="majorHAnsi" w:cs="Times New Roman"/>
          <w:b/>
          <w:sz w:val="24"/>
          <w:szCs w:val="24"/>
          <w:u w:val="single"/>
        </w:rPr>
      </w:pPr>
      <w:r w:rsidRPr="00A935AC">
        <w:rPr>
          <w:rFonts w:asciiTheme="majorHAnsi" w:hAnsiTheme="majorHAnsi" w:cs="Times New Roman"/>
          <w:b/>
          <w:sz w:val="24"/>
          <w:szCs w:val="24"/>
          <w:u w:val="single"/>
        </w:rPr>
        <w:t>Interventi 2 e 18</w:t>
      </w:r>
    </w:p>
    <w:p w14:paraId="75C6032E" w14:textId="4905F06D" w:rsidR="004D2C48" w:rsidRPr="005D239B" w:rsidRDefault="00D662E2" w:rsidP="00AF516A">
      <w:pP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Si segnalano quali criticità la rapida evoluzione della normativa statale e dei relativi atti di indirizzo, anch</w:t>
      </w:r>
      <w:r w:rsidR="00E52A43">
        <w:rPr>
          <w:rFonts w:asciiTheme="majorHAnsi" w:eastAsia="Times New Roman" w:hAnsiTheme="majorHAnsi" w:cs="Arial"/>
          <w:sz w:val="24"/>
          <w:szCs w:val="24"/>
        </w:rPr>
        <w:t>e per il recepimento del D.Lgs. n. 50/2016</w:t>
      </w:r>
      <w:r w:rsidRPr="005D239B">
        <w:rPr>
          <w:rFonts w:asciiTheme="majorHAnsi" w:eastAsia="Times New Roman" w:hAnsiTheme="majorHAnsi" w:cs="Arial"/>
          <w:sz w:val="24"/>
          <w:szCs w:val="24"/>
        </w:rPr>
        <w:t xml:space="preserve">, con il rinvio a numerosi provvedimenti attuativi, </w:t>
      </w:r>
      <w:r w:rsidR="00B63AC3" w:rsidRPr="005D239B">
        <w:rPr>
          <w:rFonts w:asciiTheme="majorHAnsi" w:eastAsia="Times New Roman" w:hAnsiTheme="majorHAnsi" w:cs="Arial"/>
          <w:sz w:val="24"/>
          <w:szCs w:val="24"/>
        </w:rPr>
        <w:t xml:space="preserve">oltre alla limitazione </w:t>
      </w:r>
      <w:r w:rsidR="004D2C48" w:rsidRPr="005D239B">
        <w:rPr>
          <w:rFonts w:asciiTheme="majorHAnsi" w:eastAsia="Times New Roman" w:hAnsiTheme="majorHAnsi" w:cs="Arial"/>
          <w:sz w:val="24"/>
          <w:szCs w:val="24"/>
        </w:rPr>
        <w:t xml:space="preserve">degli spazi regionali di azione </w:t>
      </w:r>
      <w:r w:rsidRPr="005D239B">
        <w:rPr>
          <w:rFonts w:asciiTheme="majorHAnsi" w:eastAsia="Times New Roman" w:hAnsiTheme="majorHAnsi" w:cs="Arial"/>
          <w:sz w:val="24"/>
          <w:szCs w:val="24"/>
        </w:rPr>
        <w:t xml:space="preserve">e a difficoltà tecnico-amministrative per la conclusione dell'attività di approvazione del </w:t>
      </w:r>
      <w:r w:rsidR="00E52A43">
        <w:rPr>
          <w:rFonts w:asciiTheme="majorHAnsi" w:eastAsia="Times New Roman" w:hAnsiTheme="majorHAnsi" w:cs="Arial"/>
          <w:sz w:val="24"/>
          <w:szCs w:val="24"/>
        </w:rPr>
        <w:t>P</w:t>
      </w:r>
      <w:r w:rsidRPr="005D239B">
        <w:rPr>
          <w:rFonts w:asciiTheme="majorHAnsi" w:eastAsia="Times New Roman" w:hAnsiTheme="majorHAnsi" w:cs="Arial"/>
          <w:sz w:val="24"/>
          <w:szCs w:val="24"/>
        </w:rPr>
        <w:t>rezzario 2014.</w:t>
      </w:r>
      <w:r w:rsidR="004D2C48" w:rsidRPr="005D239B">
        <w:rPr>
          <w:rFonts w:asciiTheme="majorHAnsi" w:eastAsia="Times New Roman" w:hAnsiTheme="majorHAnsi" w:cs="Arial"/>
          <w:sz w:val="24"/>
          <w:szCs w:val="24"/>
        </w:rPr>
        <w:t xml:space="preserve"> </w:t>
      </w:r>
    </w:p>
    <w:p w14:paraId="355F9DA9" w14:textId="77777777" w:rsidR="00AF516A" w:rsidRDefault="00AF516A" w:rsidP="008A5596">
      <w:pPr>
        <w:jc w:val="both"/>
        <w:rPr>
          <w:rFonts w:asciiTheme="majorHAnsi" w:hAnsiTheme="majorHAnsi" w:cs="Times New Roman"/>
          <w:sz w:val="24"/>
          <w:szCs w:val="24"/>
          <w:u w:val="single"/>
        </w:rPr>
      </w:pPr>
    </w:p>
    <w:p w14:paraId="193F8760" w14:textId="77777777" w:rsidR="008A5596" w:rsidRPr="00A935AC" w:rsidRDefault="008A5596" w:rsidP="008A5596">
      <w:pPr>
        <w:jc w:val="both"/>
        <w:rPr>
          <w:rFonts w:asciiTheme="majorHAnsi" w:hAnsiTheme="majorHAnsi" w:cs="Times New Roman"/>
          <w:b/>
          <w:sz w:val="24"/>
          <w:szCs w:val="24"/>
          <w:u w:val="single"/>
        </w:rPr>
      </w:pPr>
      <w:r w:rsidRPr="00A935AC">
        <w:rPr>
          <w:rFonts w:asciiTheme="majorHAnsi" w:hAnsiTheme="majorHAnsi" w:cs="Times New Roman"/>
          <w:b/>
          <w:sz w:val="24"/>
          <w:szCs w:val="24"/>
          <w:u w:val="single"/>
        </w:rPr>
        <w:t>Interventi 9 e 12</w:t>
      </w:r>
    </w:p>
    <w:p w14:paraId="37CF635F" w14:textId="4B1CE6E3" w:rsidR="00A51962" w:rsidRPr="00A06149" w:rsidRDefault="008A5596" w:rsidP="00A06149">
      <w:pPr>
        <w:jc w:val="both"/>
        <w:rPr>
          <w:rFonts w:asciiTheme="majorHAnsi" w:hAnsiTheme="majorHAnsi" w:cs="Times New Roman"/>
          <w:sz w:val="24"/>
          <w:szCs w:val="24"/>
        </w:rPr>
      </w:pPr>
      <w:r w:rsidRPr="005D239B">
        <w:rPr>
          <w:rFonts w:asciiTheme="majorHAnsi" w:hAnsiTheme="majorHAnsi" w:cs="Times New Roman"/>
          <w:sz w:val="24"/>
          <w:szCs w:val="24"/>
        </w:rPr>
        <w:t>Risentono della tempistica di approvazione de</w:t>
      </w:r>
      <w:r w:rsidR="00B919F4" w:rsidRPr="005D239B">
        <w:rPr>
          <w:rFonts w:asciiTheme="majorHAnsi" w:hAnsiTheme="majorHAnsi" w:cs="Times New Roman"/>
          <w:sz w:val="24"/>
          <w:szCs w:val="24"/>
        </w:rPr>
        <w:t>l POR FESR</w:t>
      </w:r>
      <w:r w:rsidR="00E52A43">
        <w:rPr>
          <w:rFonts w:asciiTheme="majorHAnsi" w:hAnsiTheme="majorHAnsi" w:cs="Times New Roman"/>
          <w:sz w:val="24"/>
          <w:szCs w:val="24"/>
        </w:rPr>
        <w:t>.</w:t>
      </w:r>
    </w:p>
    <w:sectPr w:rsidR="00A51962" w:rsidRPr="00A06149" w:rsidSect="00284556">
      <w:footerReference w:type="even" r:id="rId9"/>
      <w:footerReference w:type="default" r:id="rId10"/>
      <w:pgSz w:w="11906" w:h="16838"/>
      <w:pgMar w:top="1823" w:right="1134" w:bottom="162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20CC5" w14:textId="77777777" w:rsidR="00A507BF" w:rsidRDefault="00A507BF" w:rsidP="00375D83">
      <w:pPr>
        <w:spacing w:after="0" w:line="240" w:lineRule="auto"/>
      </w:pPr>
      <w:r>
        <w:separator/>
      </w:r>
    </w:p>
  </w:endnote>
  <w:endnote w:type="continuationSeparator" w:id="0">
    <w:p w14:paraId="3B69F2E8" w14:textId="77777777" w:rsidR="00A507BF" w:rsidRDefault="00A507BF" w:rsidP="0037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75A4" w14:textId="77777777" w:rsidR="00375D83" w:rsidRDefault="00037B14" w:rsidP="00E674FD">
    <w:pPr>
      <w:pStyle w:val="Pidipagina"/>
      <w:framePr w:wrap="none" w:vAnchor="text" w:hAnchor="margin" w:xAlign="right" w:y="1"/>
      <w:rPr>
        <w:rStyle w:val="Numeropagina"/>
      </w:rPr>
    </w:pPr>
    <w:r>
      <w:rPr>
        <w:rStyle w:val="Numeropagina"/>
      </w:rPr>
      <w:fldChar w:fldCharType="begin"/>
    </w:r>
    <w:r w:rsidR="00375D83">
      <w:rPr>
        <w:rStyle w:val="Numeropagina"/>
      </w:rPr>
      <w:instrText xml:space="preserve">PAGE  </w:instrText>
    </w:r>
    <w:r>
      <w:rPr>
        <w:rStyle w:val="Numeropagina"/>
      </w:rPr>
      <w:fldChar w:fldCharType="end"/>
    </w:r>
  </w:p>
  <w:p w14:paraId="2C0D06FF" w14:textId="77777777" w:rsidR="00375D83" w:rsidRDefault="00375D83" w:rsidP="00375D8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D6A06" w14:textId="77777777" w:rsidR="00375D83" w:rsidRDefault="00037B14" w:rsidP="00E674FD">
    <w:pPr>
      <w:pStyle w:val="Pidipagina"/>
      <w:framePr w:wrap="none" w:vAnchor="text" w:hAnchor="margin" w:xAlign="right" w:y="1"/>
      <w:rPr>
        <w:rStyle w:val="Numeropagina"/>
      </w:rPr>
    </w:pPr>
    <w:r>
      <w:rPr>
        <w:rStyle w:val="Numeropagina"/>
      </w:rPr>
      <w:fldChar w:fldCharType="begin"/>
    </w:r>
    <w:r w:rsidR="00375D83">
      <w:rPr>
        <w:rStyle w:val="Numeropagina"/>
      </w:rPr>
      <w:instrText xml:space="preserve">PAGE  </w:instrText>
    </w:r>
    <w:r>
      <w:rPr>
        <w:rStyle w:val="Numeropagina"/>
      </w:rPr>
      <w:fldChar w:fldCharType="separate"/>
    </w:r>
    <w:r w:rsidR="00A507BF">
      <w:rPr>
        <w:rStyle w:val="Numeropagina"/>
        <w:noProof/>
      </w:rPr>
      <w:t>1</w:t>
    </w:r>
    <w:r>
      <w:rPr>
        <w:rStyle w:val="Numeropagina"/>
      </w:rPr>
      <w:fldChar w:fldCharType="end"/>
    </w:r>
  </w:p>
  <w:p w14:paraId="0CA93E33" w14:textId="77777777" w:rsidR="00375D83" w:rsidRDefault="00375D83" w:rsidP="00375D8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95965" w14:textId="77777777" w:rsidR="00A507BF" w:rsidRDefault="00A507BF" w:rsidP="00375D83">
      <w:pPr>
        <w:spacing w:after="0" w:line="240" w:lineRule="auto"/>
      </w:pPr>
      <w:r>
        <w:separator/>
      </w:r>
    </w:p>
  </w:footnote>
  <w:footnote w:type="continuationSeparator" w:id="0">
    <w:p w14:paraId="5933A437" w14:textId="77777777" w:rsidR="00A507BF" w:rsidRDefault="00A507BF" w:rsidP="00375D83">
      <w:pPr>
        <w:spacing w:after="0" w:line="240" w:lineRule="auto"/>
      </w:pPr>
      <w:r>
        <w:continuationSeparator/>
      </w:r>
    </w:p>
  </w:footnote>
  <w:footnote w:id="1">
    <w:p w14:paraId="709F6FE6" w14:textId="36CA8C1B" w:rsidR="00621D2D" w:rsidRPr="00621D2D" w:rsidRDefault="00621D2D">
      <w:pPr>
        <w:pStyle w:val="Testonotaapidipagina"/>
        <w:rPr>
          <w:i/>
        </w:rPr>
      </w:pPr>
      <w:r w:rsidRPr="00621D2D">
        <w:rPr>
          <w:rStyle w:val="Rimandonotaapidipagina"/>
          <w:i/>
        </w:rPr>
        <w:footnoteRef/>
      </w:r>
      <w:r w:rsidRPr="00621D2D">
        <w:rPr>
          <w:i/>
        </w:rPr>
        <w:t xml:space="preserve"> </w:t>
      </w:r>
      <w:r w:rsidRPr="00621D2D">
        <w:rPr>
          <w:rFonts w:ascii="Times New Roman" w:hAnsi="Times New Roman" w:cs="Times New Roman"/>
          <w:i/>
        </w:rPr>
        <w:t xml:space="preserve">Dimensione indicativa della relazione </w:t>
      </w:r>
      <w:r>
        <w:rPr>
          <w:rFonts w:ascii="Times New Roman" w:hAnsi="Times New Roman" w:cs="Times New Roman"/>
          <w:i/>
        </w:rPr>
        <w:t xml:space="preserve">tra le </w:t>
      </w:r>
      <w:r w:rsidRPr="00621D2D">
        <w:rPr>
          <w:rFonts w:ascii="Times New Roman" w:hAnsi="Times New Roman" w:cs="Times New Roman"/>
          <w:i/>
        </w:rPr>
        <w:t>700 e 1500 parole</w:t>
      </w:r>
      <w:r>
        <w:rPr>
          <w:rFonts w:ascii="Times New Roman" w:hAnsi="Times New Roman" w:cs="Times New Roman"/>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4F48"/>
    <w:multiLevelType w:val="hybridMultilevel"/>
    <w:tmpl w:val="7820DF2E"/>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
    <w:nsid w:val="38167419"/>
    <w:multiLevelType w:val="hybridMultilevel"/>
    <w:tmpl w:val="89DE7FBC"/>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2">
    <w:nsid w:val="5B3C4472"/>
    <w:multiLevelType w:val="hybridMultilevel"/>
    <w:tmpl w:val="7F92AA30"/>
    <w:lvl w:ilvl="0" w:tplc="E80E27A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7F361312"/>
    <w:multiLevelType w:val="hybridMultilevel"/>
    <w:tmpl w:val="7F14AA18"/>
    <w:lvl w:ilvl="0" w:tplc="AD2E5C9E">
      <w:start w:val="10"/>
      <w:numFmt w:val="bullet"/>
      <w:lvlText w:val=""/>
      <w:lvlJc w:val="left"/>
      <w:pPr>
        <w:ind w:left="1060" w:hanging="70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A4"/>
    <w:rsid w:val="00001D56"/>
    <w:rsid w:val="00037B14"/>
    <w:rsid w:val="000519D2"/>
    <w:rsid w:val="000813F8"/>
    <w:rsid w:val="00095AFC"/>
    <w:rsid w:val="000B2BC1"/>
    <w:rsid w:val="000B3F7E"/>
    <w:rsid w:val="0012006E"/>
    <w:rsid w:val="001209B5"/>
    <w:rsid w:val="00142C17"/>
    <w:rsid w:val="001518E6"/>
    <w:rsid w:val="001814E0"/>
    <w:rsid w:val="00185DCC"/>
    <w:rsid w:val="00186D1C"/>
    <w:rsid w:val="00187DDD"/>
    <w:rsid w:val="001C15B8"/>
    <w:rsid w:val="001C672A"/>
    <w:rsid w:val="001D3827"/>
    <w:rsid w:val="001E288C"/>
    <w:rsid w:val="002372E0"/>
    <w:rsid w:val="00284556"/>
    <w:rsid w:val="002A3218"/>
    <w:rsid w:val="002D2A6E"/>
    <w:rsid w:val="003126B8"/>
    <w:rsid w:val="0031689E"/>
    <w:rsid w:val="003420BA"/>
    <w:rsid w:val="00365748"/>
    <w:rsid w:val="00375D83"/>
    <w:rsid w:val="00376E2E"/>
    <w:rsid w:val="0037718A"/>
    <w:rsid w:val="00381F7B"/>
    <w:rsid w:val="00382E7C"/>
    <w:rsid w:val="003839FC"/>
    <w:rsid w:val="003A088C"/>
    <w:rsid w:val="003B57BA"/>
    <w:rsid w:val="003D30DA"/>
    <w:rsid w:val="004005B3"/>
    <w:rsid w:val="00401691"/>
    <w:rsid w:val="0040643E"/>
    <w:rsid w:val="00462ECA"/>
    <w:rsid w:val="00464288"/>
    <w:rsid w:val="004840EF"/>
    <w:rsid w:val="004D2C48"/>
    <w:rsid w:val="004F4E03"/>
    <w:rsid w:val="0050076B"/>
    <w:rsid w:val="005028F8"/>
    <w:rsid w:val="005120CA"/>
    <w:rsid w:val="00512BEB"/>
    <w:rsid w:val="00541A05"/>
    <w:rsid w:val="005540BB"/>
    <w:rsid w:val="005726A5"/>
    <w:rsid w:val="00572BCF"/>
    <w:rsid w:val="005D239B"/>
    <w:rsid w:val="005F0F3B"/>
    <w:rsid w:val="006114EA"/>
    <w:rsid w:val="00621D2D"/>
    <w:rsid w:val="00666D35"/>
    <w:rsid w:val="00667388"/>
    <w:rsid w:val="006702E8"/>
    <w:rsid w:val="006974B1"/>
    <w:rsid w:val="006976C1"/>
    <w:rsid w:val="006A0A1F"/>
    <w:rsid w:val="006C3B0E"/>
    <w:rsid w:val="0071442D"/>
    <w:rsid w:val="0076710A"/>
    <w:rsid w:val="00776D77"/>
    <w:rsid w:val="0078647B"/>
    <w:rsid w:val="007C048E"/>
    <w:rsid w:val="007C4033"/>
    <w:rsid w:val="007F664C"/>
    <w:rsid w:val="007F7D6C"/>
    <w:rsid w:val="007F7EC8"/>
    <w:rsid w:val="008229B6"/>
    <w:rsid w:val="00844655"/>
    <w:rsid w:val="00844E70"/>
    <w:rsid w:val="00857B13"/>
    <w:rsid w:val="00863725"/>
    <w:rsid w:val="00892FB3"/>
    <w:rsid w:val="00896BE2"/>
    <w:rsid w:val="008A5596"/>
    <w:rsid w:val="008B35EC"/>
    <w:rsid w:val="008D53B7"/>
    <w:rsid w:val="008E108F"/>
    <w:rsid w:val="0090149F"/>
    <w:rsid w:val="00927FE6"/>
    <w:rsid w:val="00944255"/>
    <w:rsid w:val="00947F4B"/>
    <w:rsid w:val="00956D12"/>
    <w:rsid w:val="00972CE6"/>
    <w:rsid w:val="009E3948"/>
    <w:rsid w:val="00A06149"/>
    <w:rsid w:val="00A2019D"/>
    <w:rsid w:val="00A507BF"/>
    <w:rsid w:val="00A51962"/>
    <w:rsid w:val="00A76845"/>
    <w:rsid w:val="00A87408"/>
    <w:rsid w:val="00A92FA9"/>
    <w:rsid w:val="00A935AC"/>
    <w:rsid w:val="00AB31F3"/>
    <w:rsid w:val="00AB7186"/>
    <w:rsid w:val="00AC4D4F"/>
    <w:rsid w:val="00AF516A"/>
    <w:rsid w:val="00AF786A"/>
    <w:rsid w:val="00B03854"/>
    <w:rsid w:val="00B47E26"/>
    <w:rsid w:val="00B56F9A"/>
    <w:rsid w:val="00B63AC3"/>
    <w:rsid w:val="00B66272"/>
    <w:rsid w:val="00B71E10"/>
    <w:rsid w:val="00B71E39"/>
    <w:rsid w:val="00B723D5"/>
    <w:rsid w:val="00B919F4"/>
    <w:rsid w:val="00BA0F61"/>
    <w:rsid w:val="00BB38C3"/>
    <w:rsid w:val="00BC4FBC"/>
    <w:rsid w:val="00BD2C33"/>
    <w:rsid w:val="00BE779B"/>
    <w:rsid w:val="00C047C6"/>
    <w:rsid w:val="00C21A18"/>
    <w:rsid w:val="00C22240"/>
    <w:rsid w:val="00C54251"/>
    <w:rsid w:val="00C63A10"/>
    <w:rsid w:val="00C65D90"/>
    <w:rsid w:val="00C739B6"/>
    <w:rsid w:val="00C75D75"/>
    <w:rsid w:val="00C843E5"/>
    <w:rsid w:val="00CD78F9"/>
    <w:rsid w:val="00D3789E"/>
    <w:rsid w:val="00D41867"/>
    <w:rsid w:val="00D662E2"/>
    <w:rsid w:val="00DE7167"/>
    <w:rsid w:val="00E00CE3"/>
    <w:rsid w:val="00E04684"/>
    <w:rsid w:val="00E11326"/>
    <w:rsid w:val="00E11FD7"/>
    <w:rsid w:val="00E166CD"/>
    <w:rsid w:val="00E3777E"/>
    <w:rsid w:val="00E50FA4"/>
    <w:rsid w:val="00E52A43"/>
    <w:rsid w:val="00E62D1C"/>
    <w:rsid w:val="00E7779F"/>
    <w:rsid w:val="00E836F9"/>
    <w:rsid w:val="00E93D07"/>
    <w:rsid w:val="00ED2DAF"/>
    <w:rsid w:val="00F15346"/>
    <w:rsid w:val="00F35C7D"/>
    <w:rsid w:val="00F51EC9"/>
    <w:rsid w:val="00F7021A"/>
    <w:rsid w:val="00F8757D"/>
    <w:rsid w:val="00F914D6"/>
    <w:rsid w:val="00F97675"/>
    <w:rsid w:val="00FA654E"/>
    <w:rsid w:val="00FD0FC4"/>
    <w:rsid w:val="00FE60D0"/>
    <w:rsid w:val="00FE720A"/>
    <w:rsid w:val="00FF7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3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aliases w:val="Normal bullet 2,Bullet list,Numbered List,List Paragraph1"/>
    <w:basedOn w:val="Normale"/>
    <w:link w:val="Elencoacolori-Colore1Carattere"/>
    <w:uiPriority w:val="34"/>
    <w:qFormat/>
    <w:rsid w:val="00381F7B"/>
    <w:pPr>
      <w:ind w:left="720"/>
      <w:contextualSpacing/>
    </w:pPr>
    <w:rPr>
      <w:rFonts w:ascii="Calibri" w:eastAsia="Calibri" w:hAnsi="Calibri" w:cs="Times New Roman"/>
    </w:rPr>
  </w:style>
  <w:style w:type="character" w:customStyle="1" w:styleId="Elencoacolori-Colore1Carattere">
    <w:name w:val="Elenco a colori - Colore 1 Carattere"/>
    <w:aliases w:val="Normal bullet 2 Carattere,Bullet list Carattere,Numbered List Carattere,List Paragraph1 Carattere"/>
    <w:link w:val="Elencoacolori-Colore11"/>
    <w:uiPriority w:val="34"/>
    <w:rsid w:val="00381F7B"/>
    <w:rPr>
      <w:rFonts w:ascii="Calibri" w:eastAsia="Calibri" w:hAnsi="Calibri" w:cs="Times New Roman"/>
    </w:rPr>
  </w:style>
  <w:style w:type="paragraph" w:styleId="Paragrafoelenco">
    <w:name w:val="List Paragraph"/>
    <w:basedOn w:val="Normale"/>
    <w:uiPriority w:val="34"/>
    <w:qFormat/>
    <w:rsid w:val="006976C1"/>
    <w:pPr>
      <w:ind w:left="720"/>
      <w:contextualSpacing/>
    </w:pPr>
  </w:style>
  <w:style w:type="paragraph" w:styleId="Pidipagina">
    <w:name w:val="footer"/>
    <w:basedOn w:val="Normale"/>
    <w:link w:val="PidipaginaCarattere"/>
    <w:uiPriority w:val="99"/>
    <w:unhideWhenUsed/>
    <w:rsid w:val="00375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5D83"/>
  </w:style>
  <w:style w:type="character" w:styleId="Numeropagina">
    <w:name w:val="page number"/>
    <w:basedOn w:val="Carpredefinitoparagrafo"/>
    <w:uiPriority w:val="99"/>
    <w:semiHidden/>
    <w:unhideWhenUsed/>
    <w:rsid w:val="00375D83"/>
  </w:style>
  <w:style w:type="paragraph" w:styleId="Mappadocumento">
    <w:name w:val="Document Map"/>
    <w:basedOn w:val="Normale"/>
    <w:link w:val="MappadocumentoCarattere"/>
    <w:uiPriority w:val="99"/>
    <w:semiHidden/>
    <w:unhideWhenUsed/>
    <w:rsid w:val="005726A5"/>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5726A5"/>
    <w:rPr>
      <w:rFonts w:ascii="Times New Roman" w:hAnsi="Times New Roman" w:cs="Times New Roman"/>
      <w:sz w:val="24"/>
      <w:szCs w:val="24"/>
    </w:rPr>
  </w:style>
  <w:style w:type="paragraph" w:styleId="Testonotaapidipagina">
    <w:name w:val="footnote text"/>
    <w:basedOn w:val="Normale"/>
    <w:link w:val="TestonotaapidipaginaCarattere"/>
    <w:uiPriority w:val="99"/>
    <w:unhideWhenUsed/>
    <w:rsid w:val="00621D2D"/>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621D2D"/>
    <w:rPr>
      <w:sz w:val="24"/>
      <w:szCs w:val="24"/>
    </w:rPr>
  </w:style>
  <w:style w:type="character" w:styleId="Rimandonotaapidipagina">
    <w:name w:val="footnote reference"/>
    <w:basedOn w:val="Carpredefinitoparagrafo"/>
    <w:uiPriority w:val="99"/>
    <w:unhideWhenUsed/>
    <w:rsid w:val="00621D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aliases w:val="Normal bullet 2,Bullet list,Numbered List,List Paragraph1"/>
    <w:basedOn w:val="Normale"/>
    <w:link w:val="Elencoacolori-Colore1Carattere"/>
    <w:uiPriority w:val="34"/>
    <w:qFormat/>
    <w:rsid w:val="00381F7B"/>
    <w:pPr>
      <w:ind w:left="720"/>
      <w:contextualSpacing/>
    </w:pPr>
    <w:rPr>
      <w:rFonts w:ascii="Calibri" w:eastAsia="Calibri" w:hAnsi="Calibri" w:cs="Times New Roman"/>
    </w:rPr>
  </w:style>
  <w:style w:type="character" w:customStyle="1" w:styleId="Elencoacolori-Colore1Carattere">
    <w:name w:val="Elenco a colori - Colore 1 Carattere"/>
    <w:aliases w:val="Normal bullet 2 Carattere,Bullet list Carattere,Numbered List Carattere,List Paragraph1 Carattere"/>
    <w:link w:val="Elencoacolori-Colore11"/>
    <w:uiPriority w:val="34"/>
    <w:rsid w:val="00381F7B"/>
    <w:rPr>
      <w:rFonts w:ascii="Calibri" w:eastAsia="Calibri" w:hAnsi="Calibri" w:cs="Times New Roman"/>
    </w:rPr>
  </w:style>
  <w:style w:type="paragraph" w:styleId="Paragrafoelenco">
    <w:name w:val="List Paragraph"/>
    <w:basedOn w:val="Normale"/>
    <w:uiPriority w:val="34"/>
    <w:qFormat/>
    <w:rsid w:val="006976C1"/>
    <w:pPr>
      <w:ind w:left="720"/>
      <w:contextualSpacing/>
    </w:pPr>
  </w:style>
  <w:style w:type="paragraph" w:styleId="Pidipagina">
    <w:name w:val="footer"/>
    <w:basedOn w:val="Normale"/>
    <w:link w:val="PidipaginaCarattere"/>
    <w:uiPriority w:val="99"/>
    <w:unhideWhenUsed/>
    <w:rsid w:val="00375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5D83"/>
  </w:style>
  <w:style w:type="character" w:styleId="Numeropagina">
    <w:name w:val="page number"/>
    <w:basedOn w:val="Carpredefinitoparagrafo"/>
    <w:uiPriority w:val="99"/>
    <w:semiHidden/>
    <w:unhideWhenUsed/>
    <w:rsid w:val="00375D83"/>
  </w:style>
  <w:style w:type="paragraph" w:styleId="Mappadocumento">
    <w:name w:val="Document Map"/>
    <w:basedOn w:val="Normale"/>
    <w:link w:val="MappadocumentoCarattere"/>
    <w:uiPriority w:val="99"/>
    <w:semiHidden/>
    <w:unhideWhenUsed/>
    <w:rsid w:val="005726A5"/>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5726A5"/>
    <w:rPr>
      <w:rFonts w:ascii="Times New Roman" w:hAnsi="Times New Roman" w:cs="Times New Roman"/>
      <w:sz w:val="24"/>
      <w:szCs w:val="24"/>
    </w:rPr>
  </w:style>
  <w:style w:type="paragraph" w:styleId="Testonotaapidipagina">
    <w:name w:val="footnote text"/>
    <w:basedOn w:val="Normale"/>
    <w:link w:val="TestonotaapidipaginaCarattere"/>
    <w:uiPriority w:val="99"/>
    <w:unhideWhenUsed/>
    <w:rsid w:val="00621D2D"/>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621D2D"/>
    <w:rPr>
      <w:sz w:val="24"/>
      <w:szCs w:val="24"/>
    </w:rPr>
  </w:style>
  <w:style w:type="character" w:styleId="Rimandonotaapidipagina">
    <w:name w:val="footnote reference"/>
    <w:basedOn w:val="Carpredefinitoparagrafo"/>
    <w:uiPriority w:val="99"/>
    <w:unhideWhenUsed/>
    <w:rsid w:val="00621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6266">
      <w:bodyDiv w:val="1"/>
      <w:marLeft w:val="0"/>
      <w:marRight w:val="0"/>
      <w:marTop w:val="0"/>
      <w:marBottom w:val="0"/>
      <w:divBdr>
        <w:top w:val="none" w:sz="0" w:space="0" w:color="auto"/>
        <w:left w:val="none" w:sz="0" w:space="0" w:color="auto"/>
        <w:bottom w:val="none" w:sz="0" w:space="0" w:color="auto"/>
        <w:right w:val="none" w:sz="0" w:space="0" w:color="auto"/>
      </w:divBdr>
    </w:div>
    <w:div w:id="6399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E60F-FCFA-49DF-B6B3-2387E828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1520</Words>
  <Characters>8670</Characters>
  <Application>Microsoft Office Word</Application>
  <DocSecurity>0</DocSecurity>
  <Lines>72</Lines>
  <Paragraphs>20</Paragraphs>
  <ScaleCrop>false</ScaleCrop>
  <HeadingPairs>
    <vt:vector size="4" baseType="variant">
      <vt:variant>
        <vt:lpstr>Titolo</vt:lpstr>
      </vt:variant>
      <vt:variant>
        <vt:i4>1</vt:i4>
      </vt:variant>
      <vt:variant>
        <vt:lpstr>Intestazioni</vt:lpstr>
      </vt:variant>
      <vt:variant>
        <vt:i4>17</vt:i4>
      </vt:variant>
    </vt:vector>
  </HeadingPairs>
  <TitlesOfParts>
    <vt:vector size="18" baseType="lpstr">
      <vt:lpstr/>
      <vt:lpstr>PIANO DI RAFFORZAMENTO AMMINISTRATIVO (PRA)</vt:lpstr>
      <vt:lpstr>DELLA REGIONE DEL VENETO</vt:lpstr>
      <vt:lpstr>Relazione qualitativa al 2  quadrimestre 31 agosto 2016  </vt:lpstr>
      <vt:lpstr>Introduzione</vt:lpstr>
      <vt:lpstr/>
      <vt:lpstr/>
      <vt:lpstr>Sezione 1 - Avanzamento degli interventi di rafforzamento amministrativo;</vt:lpstr>
      <vt:lpstr/>
      <vt:lpstr/>
      <vt:lpstr>Sezione 2 - I risultati conseguiti dagli interventi</vt:lpstr>
      <vt:lpstr/>
      <vt:lpstr/>
      <vt:lpstr/>
      <vt:lpstr>Sezione 3 - I principali problemi incontrati dagli interventi.</vt:lpstr>
      <vt:lpstr/>
      <vt:lpstr>Negli ultimi mesi la Regione del Veneto è stata interessata da una riorganizzazi</vt:lpstr>
      <vt:lpstr>Interventi 2 e 18</vt:lpstr>
    </vt:vector>
  </TitlesOfParts>
  <Company>Giunta Regionale</Company>
  <LinksUpToDate>false</LinksUpToDate>
  <CharactersWithSpaces>10170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Centurelli</dc:creator>
  <cp:lastModifiedBy>Administrator</cp:lastModifiedBy>
  <cp:revision>55</cp:revision>
  <cp:lastPrinted>2016-09-29T07:10:00Z</cp:lastPrinted>
  <dcterms:created xsi:type="dcterms:W3CDTF">2016-09-27T09:33:00Z</dcterms:created>
  <dcterms:modified xsi:type="dcterms:W3CDTF">2016-09-29T11:43:00Z</dcterms:modified>
</cp:coreProperties>
</file>