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E8" w:rsidRPr="006702E8" w:rsidRDefault="006702E8" w:rsidP="006702E8">
      <w:pPr>
        <w:spacing w:after="120" w:line="240" w:lineRule="auto"/>
        <w:jc w:val="both"/>
        <w:rPr>
          <w:rFonts w:ascii="Times New Roman" w:hAnsi="Times New Roman" w:cs="Times New Roman"/>
          <w:b/>
          <w:bCs/>
          <w:color w:val="000000"/>
          <w:sz w:val="24"/>
          <w:szCs w:val="24"/>
        </w:rPr>
      </w:pPr>
    </w:p>
    <w:p w:rsidR="006702E8" w:rsidRDefault="006702E8" w:rsidP="006702E8">
      <w:pPr>
        <w:spacing w:after="120" w:line="240" w:lineRule="auto"/>
        <w:jc w:val="center"/>
        <w:rPr>
          <w:rFonts w:ascii="Times New Roman" w:eastAsia="Calibri" w:hAnsi="Times New Roman" w:cs="Times New Roman"/>
          <w:b/>
          <w:sz w:val="28"/>
          <w:szCs w:val="28"/>
        </w:rPr>
      </w:pPr>
    </w:p>
    <w:p w:rsidR="006702E8" w:rsidRDefault="006702E8" w:rsidP="00284556">
      <w:pPr>
        <w:pBdr>
          <w:bottom w:val="single" w:sz="4" w:space="1" w:color="auto"/>
        </w:pBdr>
        <w:spacing w:after="0"/>
        <w:jc w:val="center"/>
        <w:outlineLvl w:val="0"/>
        <w:rPr>
          <w:rFonts w:ascii="Cambria" w:hAnsi="Cambria"/>
          <w:b/>
          <w:color w:val="1F497D"/>
          <w:sz w:val="36"/>
          <w:szCs w:val="36"/>
        </w:rPr>
      </w:pPr>
      <w:r w:rsidRPr="00D4498C">
        <w:rPr>
          <w:rFonts w:ascii="Cambria" w:hAnsi="Cambria"/>
          <w:b/>
          <w:color w:val="1F497D"/>
          <w:sz w:val="36"/>
          <w:szCs w:val="36"/>
        </w:rPr>
        <w:t>PIANO DI RAFFORZAMENTO AMMINISTRATIVO (PRA)</w:t>
      </w:r>
    </w:p>
    <w:p w:rsidR="00284556" w:rsidRPr="00D4498C" w:rsidRDefault="00284556" w:rsidP="005726A5">
      <w:pPr>
        <w:pBdr>
          <w:bottom w:val="single" w:sz="4" w:space="1" w:color="auto"/>
        </w:pBdr>
        <w:jc w:val="center"/>
        <w:outlineLvl w:val="0"/>
        <w:rPr>
          <w:rFonts w:ascii="Cambria" w:hAnsi="Cambria"/>
          <w:b/>
          <w:color w:val="1F497D"/>
          <w:sz w:val="36"/>
          <w:szCs w:val="36"/>
        </w:rPr>
      </w:pPr>
      <w:r>
        <w:rPr>
          <w:rFonts w:ascii="Cambria" w:hAnsi="Cambria"/>
          <w:b/>
          <w:color w:val="1F497D"/>
          <w:sz w:val="36"/>
          <w:szCs w:val="36"/>
        </w:rPr>
        <w:t>DEL</w:t>
      </w:r>
      <w:r w:rsidR="0012006E">
        <w:rPr>
          <w:rFonts w:ascii="Cambria" w:hAnsi="Cambria"/>
          <w:b/>
          <w:color w:val="1F497D"/>
          <w:sz w:val="36"/>
          <w:szCs w:val="36"/>
        </w:rPr>
        <w:t>LA REGIONE</w:t>
      </w:r>
      <w:r w:rsidR="00222A4B">
        <w:rPr>
          <w:rFonts w:ascii="Cambria" w:hAnsi="Cambria"/>
          <w:b/>
          <w:color w:val="1F497D"/>
          <w:sz w:val="36"/>
          <w:szCs w:val="36"/>
        </w:rPr>
        <w:t xml:space="preserve"> DEL VENETO</w:t>
      </w:r>
    </w:p>
    <w:p w:rsidR="006702E8" w:rsidRPr="00D4498C" w:rsidRDefault="006702E8" w:rsidP="006702E8">
      <w:pPr>
        <w:rPr>
          <w:rFonts w:ascii="Cambria" w:hAnsi="Cambria"/>
          <w:b/>
          <w:sz w:val="24"/>
          <w:szCs w:val="24"/>
        </w:rPr>
      </w:pPr>
    </w:p>
    <w:p w:rsidR="00E50FA4" w:rsidRPr="002F6927" w:rsidRDefault="00621D2D" w:rsidP="005726A5">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color w:val="1F497D"/>
          <w:sz w:val="28"/>
          <w:szCs w:val="28"/>
        </w:rPr>
      </w:pPr>
      <w:r w:rsidRPr="002F6927">
        <w:rPr>
          <w:rFonts w:ascii="Times New Roman" w:hAnsi="Times New Roman" w:cs="Times New Roman"/>
          <w:b/>
          <w:color w:val="1F497D"/>
          <w:sz w:val="28"/>
          <w:szCs w:val="28"/>
        </w:rPr>
        <w:t xml:space="preserve">Relazione qualitativa al </w:t>
      </w:r>
      <w:r w:rsidR="00F474B3" w:rsidRPr="002F6927">
        <w:rPr>
          <w:rFonts w:ascii="Times New Roman" w:hAnsi="Times New Roman" w:cs="Times New Roman"/>
          <w:b/>
          <w:color w:val="1F497D"/>
          <w:sz w:val="28"/>
          <w:szCs w:val="28"/>
        </w:rPr>
        <w:t>2</w:t>
      </w:r>
      <w:r w:rsidR="006114EA" w:rsidRPr="002F6927">
        <w:rPr>
          <w:rFonts w:ascii="Times New Roman" w:hAnsi="Times New Roman" w:cs="Times New Roman"/>
          <w:b/>
          <w:color w:val="1F497D"/>
          <w:sz w:val="28"/>
          <w:szCs w:val="28"/>
        </w:rPr>
        <w:t xml:space="preserve">° quadrimestre </w:t>
      </w:r>
      <w:r w:rsidRPr="002F6927">
        <w:rPr>
          <w:rFonts w:ascii="Times New Roman" w:hAnsi="Times New Roman" w:cs="Times New Roman"/>
          <w:b/>
          <w:color w:val="1F497D"/>
          <w:sz w:val="28"/>
          <w:szCs w:val="28"/>
        </w:rPr>
        <w:t xml:space="preserve">31 </w:t>
      </w:r>
      <w:r w:rsidR="00F474B3" w:rsidRPr="002F6927">
        <w:rPr>
          <w:rFonts w:ascii="Times New Roman" w:hAnsi="Times New Roman" w:cs="Times New Roman"/>
          <w:b/>
          <w:color w:val="1F497D"/>
          <w:sz w:val="28"/>
          <w:szCs w:val="28"/>
        </w:rPr>
        <w:t>agosto 2017</w:t>
      </w:r>
      <w:r w:rsidRPr="002F6927">
        <w:rPr>
          <w:rFonts w:ascii="Times New Roman" w:hAnsi="Times New Roman" w:cs="Times New Roman"/>
          <w:b/>
          <w:color w:val="1F497D"/>
          <w:sz w:val="28"/>
          <w:szCs w:val="28"/>
        </w:rPr>
        <w:t xml:space="preserve"> </w:t>
      </w:r>
      <w:r w:rsidRPr="002F6927">
        <w:rPr>
          <w:rStyle w:val="Rimandonotaapidipagina"/>
          <w:rFonts w:ascii="Times New Roman" w:hAnsi="Times New Roman" w:cs="Times New Roman"/>
          <w:b/>
          <w:color w:val="1F497D"/>
          <w:sz w:val="28"/>
          <w:szCs w:val="28"/>
        </w:rPr>
        <w:footnoteReference w:id="1"/>
      </w:r>
    </w:p>
    <w:p w:rsidR="00A51962" w:rsidRPr="002F6927" w:rsidRDefault="00A51962" w:rsidP="006702E8">
      <w:pPr>
        <w:tabs>
          <w:tab w:val="left" w:pos="1883"/>
        </w:tabs>
        <w:spacing w:after="120" w:line="240" w:lineRule="auto"/>
        <w:jc w:val="both"/>
        <w:rPr>
          <w:rFonts w:ascii="Times New Roman" w:hAnsi="Times New Roman" w:cs="Times New Roman"/>
          <w:b/>
          <w:sz w:val="24"/>
          <w:szCs w:val="24"/>
        </w:rPr>
      </w:pPr>
    </w:p>
    <w:p w:rsidR="00E50FA4" w:rsidRPr="002F6927" w:rsidRDefault="00E50FA4" w:rsidP="005726A5">
      <w:pPr>
        <w:tabs>
          <w:tab w:val="left" w:pos="1883"/>
        </w:tabs>
        <w:spacing w:after="120" w:line="240" w:lineRule="auto"/>
        <w:jc w:val="both"/>
        <w:outlineLvl w:val="0"/>
        <w:rPr>
          <w:rFonts w:ascii="Times New Roman" w:eastAsia="Calibri" w:hAnsi="Times New Roman" w:cs="Times New Roman"/>
          <w:b/>
          <w:sz w:val="24"/>
          <w:szCs w:val="24"/>
        </w:rPr>
      </w:pPr>
      <w:r w:rsidRPr="002F6927">
        <w:rPr>
          <w:rFonts w:ascii="Times New Roman" w:hAnsi="Times New Roman" w:cs="Times New Roman"/>
          <w:b/>
          <w:sz w:val="24"/>
          <w:szCs w:val="24"/>
        </w:rPr>
        <w:t>Introduzione</w:t>
      </w:r>
      <w:r w:rsidRPr="002F6927">
        <w:rPr>
          <w:rFonts w:ascii="Times New Roman" w:hAnsi="Times New Roman" w:cs="Times New Roman"/>
          <w:b/>
          <w:sz w:val="24"/>
          <w:szCs w:val="24"/>
        </w:rPr>
        <w:tab/>
      </w:r>
    </w:p>
    <w:p w:rsidR="003F6387" w:rsidRPr="002F6927" w:rsidRDefault="003F6387" w:rsidP="003F6387">
      <w:pPr>
        <w:spacing w:after="0" w:line="240" w:lineRule="auto"/>
        <w:jc w:val="both"/>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Il presente report dà conto dello stato di avanzamento degli interventi al 31 agosto 2017. Gli interventi sono richiamati utilizzando il numero sequenziale che li identifica in modo univoco nella scheda 1 “Monitoraggio interventi PRA”.</w:t>
      </w:r>
    </w:p>
    <w:p w:rsidR="00621D2D" w:rsidRPr="002F6927" w:rsidRDefault="00621D2D" w:rsidP="00621D2D">
      <w:pPr>
        <w:spacing w:after="120" w:line="240" w:lineRule="auto"/>
        <w:jc w:val="both"/>
        <w:outlineLvl w:val="0"/>
        <w:rPr>
          <w:rFonts w:ascii="Times New Roman" w:eastAsia="Calibri" w:hAnsi="Times New Roman" w:cs="Times New Roman"/>
          <w:b/>
          <w:sz w:val="24"/>
          <w:szCs w:val="24"/>
          <w:u w:val="single"/>
        </w:rPr>
      </w:pPr>
    </w:p>
    <w:p w:rsidR="00114A70" w:rsidRPr="002F6927" w:rsidRDefault="00114A70" w:rsidP="00114A70">
      <w:pPr>
        <w:spacing w:after="120" w:line="240" w:lineRule="auto"/>
        <w:jc w:val="both"/>
        <w:outlineLvl w:val="0"/>
        <w:rPr>
          <w:rFonts w:ascii="Times New Roman" w:eastAsia="Calibri" w:hAnsi="Times New Roman" w:cs="Times New Roman"/>
          <w:b/>
          <w:sz w:val="24"/>
          <w:szCs w:val="24"/>
          <w:u w:val="single"/>
        </w:rPr>
      </w:pPr>
      <w:r w:rsidRPr="002F6927">
        <w:rPr>
          <w:rFonts w:ascii="Times New Roman" w:eastAsia="Calibri" w:hAnsi="Times New Roman" w:cs="Times New Roman"/>
          <w:b/>
          <w:sz w:val="24"/>
          <w:szCs w:val="24"/>
          <w:u w:val="single"/>
        </w:rPr>
        <w:t>Sezione 1</w:t>
      </w:r>
      <w:r w:rsidRPr="002F6927">
        <w:rPr>
          <w:rFonts w:ascii="Times New Roman" w:hAnsi="Times New Roman" w:cs="Times New Roman"/>
          <w:b/>
          <w:sz w:val="24"/>
          <w:szCs w:val="24"/>
          <w:u w:val="single"/>
        </w:rPr>
        <w:t>.</w:t>
      </w:r>
      <w:r w:rsidRPr="002F6927">
        <w:rPr>
          <w:rFonts w:ascii="Times New Roman" w:eastAsia="Calibri" w:hAnsi="Times New Roman" w:cs="Times New Roman"/>
          <w:b/>
          <w:sz w:val="24"/>
          <w:szCs w:val="24"/>
          <w:u w:val="single"/>
        </w:rPr>
        <w:t xml:space="preserve"> Avanzamento degli interventi di rafforzamento amministrativo</w:t>
      </w:r>
    </w:p>
    <w:p w:rsidR="003F6387" w:rsidRPr="002F6927" w:rsidRDefault="003F6387" w:rsidP="003F6387">
      <w:pPr>
        <w:spacing w:after="120" w:line="240" w:lineRule="auto"/>
        <w:jc w:val="both"/>
        <w:outlineLvl w:val="0"/>
        <w:rPr>
          <w:rFonts w:ascii="Times New Roman" w:eastAsia="Calibri" w:hAnsi="Times New Roman" w:cs="Times New Roman"/>
          <w:sz w:val="24"/>
          <w:szCs w:val="24"/>
        </w:rPr>
      </w:pPr>
      <w:r w:rsidRPr="002F6927">
        <w:rPr>
          <w:rFonts w:ascii="Times New Roman" w:eastAsia="Calibri" w:hAnsi="Times New Roman" w:cs="Times New Roman"/>
          <w:sz w:val="24"/>
          <w:szCs w:val="24"/>
        </w:rPr>
        <w:t xml:space="preserve">L’attuazione della prima fase del PRA del Veneto volge al suo naturale termine biennale (29.06.2017). </w:t>
      </w:r>
    </w:p>
    <w:p w:rsidR="003F6387" w:rsidRPr="002F6927" w:rsidRDefault="003F6387" w:rsidP="003F6387">
      <w:pPr>
        <w:autoSpaceDE w:val="0"/>
        <w:autoSpaceDN w:val="0"/>
        <w:adjustRightInd w:val="0"/>
        <w:spacing w:after="120" w:line="240" w:lineRule="auto"/>
        <w:ind w:right="-20"/>
        <w:jc w:val="both"/>
        <w:rPr>
          <w:rFonts w:ascii="Times New Roman" w:hAnsi="Times New Roman" w:cs="Times New Roman"/>
          <w:position w:val="1"/>
          <w:sz w:val="24"/>
          <w:szCs w:val="24"/>
        </w:rPr>
      </w:pPr>
      <w:r w:rsidRPr="002F6927">
        <w:rPr>
          <w:rFonts w:ascii="Times New Roman" w:hAnsi="Times New Roman" w:cs="Times New Roman"/>
          <w:position w:val="1"/>
          <w:sz w:val="24"/>
          <w:szCs w:val="24"/>
        </w:rPr>
        <w:t>Lo stato di avanzamento degli interventi al 31.08.2017 è il seguente:</w:t>
      </w:r>
    </w:p>
    <w:p w:rsidR="003F6387" w:rsidRPr="002F6927" w:rsidRDefault="003F6387" w:rsidP="003F638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787"/>
        <w:gridCol w:w="2461"/>
        <w:gridCol w:w="2576"/>
      </w:tblGrid>
      <w:tr w:rsidR="003F6387" w:rsidRPr="002F6927" w:rsidTr="00D235A3">
        <w:tc>
          <w:tcPr>
            <w:tcW w:w="2030"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b/>
                <w:sz w:val="24"/>
                <w:szCs w:val="24"/>
              </w:rPr>
            </w:pPr>
            <w:r w:rsidRPr="002F6927">
              <w:rPr>
                <w:rFonts w:ascii="Times New Roman" w:eastAsia="Times New Roman" w:hAnsi="Times New Roman" w:cs="Times New Roman"/>
                <w:b/>
                <w:sz w:val="24"/>
                <w:szCs w:val="24"/>
              </w:rPr>
              <w:t>Paragrafo PRA</w:t>
            </w:r>
          </w:p>
        </w:tc>
        <w:tc>
          <w:tcPr>
            <w:tcW w:w="2787"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b/>
                <w:sz w:val="24"/>
                <w:szCs w:val="24"/>
              </w:rPr>
            </w:pPr>
            <w:r w:rsidRPr="002F6927">
              <w:rPr>
                <w:rFonts w:ascii="Times New Roman" w:eastAsia="Times New Roman" w:hAnsi="Times New Roman" w:cs="Times New Roman"/>
                <w:b/>
                <w:sz w:val="24"/>
                <w:szCs w:val="24"/>
              </w:rPr>
              <w:t>Completati</w:t>
            </w:r>
          </w:p>
          <w:p w:rsidR="003F6387" w:rsidRPr="002F6927" w:rsidRDefault="003F6387" w:rsidP="00D235A3">
            <w:pPr>
              <w:spacing w:after="0" w:line="240" w:lineRule="auto"/>
              <w:jc w:val="center"/>
              <w:rPr>
                <w:rFonts w:ascii="Times New Roman" w:eastAsia="Times New Roman" w:hAnsi="Times New Roman" w:cs="Times New Roman"/>
                <w:b/>
                <w:sz w:val="24"/>
                <w:szCs w:val="24"/>
              </w:rPr>
            </w:pPr>
          </w:p>
        </w:tc>
        <w:tc>
          <w:tcPr>
            <w:tcW w:w="2461"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b/>
                <w:sz w:val="24"/>
                <w:szCs w:val="24"/>
              </w:rPr>
            </w:pPr>
            <w:r w:rsidRPr="002F6927">
              <w:rPr>
                <w:rFonts w:ascii="Times New Roman" w:eastAsia="Times New Roman" w:hAnsi="Times New Roman" w:cs="Times New Roman"/>
                <w:b/>
                <w:sz w:val="24"/>
                <w:szCs w:val="24"/>
              </w:rPr>
              <w:t>In fase di implementazione</w:t>
            </w:r>
          </w:p>
          <w:p w:rsidR="003F6387" w:rsidRPr="002F6927" w:rsidRDefault="003F6387" w:rsidP="00D235A3">
            <w:pPr>
              <w:spacing w:after="0" w:line="240" w:lineRule="auto"/>
              <w:jc w:val="center"/>
              <w:rPr>
                <w:rFonts w:ascii="Times New Roman" w:eastAsia="Times New Roman" w:hAnsi="Times New Roman" w:cs="Times New Roman"/>
                <w:b/>
                <w:sz w:val="24"/>
                <w:szCs w:val="24"/>
              </w:rPr>
            </w:pPr>
          </w:p>
        </w:tc>
        <w:tc>
          <w:tcPr>
            <w:tcW w:w="2576"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b/>
                <w:sz w:val="24"/>
                <w:szCs w:val="24"/>
              </w:rPr>
            </w:pPr>
            <w:r w:rsidRPr="002F6927">
              <w:rPr>
                <w:rFonts w:ascii="Times New Roman" w:eastAsia="Times New Roman" w:hAnsi="Times New Roman" w:cs="Times New Roman"/>
                <w:b/>
                <w:sz w:val="24"/>
                <w:szCs w:val="24"/>
              </w:rPr>
              <w:t>Percentuale completamento</w:t>
            </w:r>
          </w:p>
          <w:p w:rsidR="003F6387" w:rsidRPr="002F6927" w:rsidRDefault="003F6387" w:rsidP="00D235A3">
            <w:pPr>
              <w:spacing w:after="0" w:line="240" w:lineRule="auto"/>
              <w:jc w:val="center"/>
              <w:rPr>
                <w:rFonts w:ascii="Times New Roman" w:eastAsia="Times New Roman" w:hAnsi="Times New Roman" w:cs="Times New Roman"/>
                <w:b/>
                <w:sz w:val="24"/>
                <w:szCs w:val="24"/>
              </w:rPr>
            </w:pPr>
          </w:p>
        </w:tc>
      </w:tr>
      <w:tr w:rsidR="003F6387" w:rsidRPr="002F6927" w:rsidTr="00D235A3">
        <w:tc>
          <w:tcPr>
            <w:tcW w:w="2030"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b/>
                <w:sz w:val="24"/>
                <w:szCs w:val="24"/>
              </w:rPr>
            </w:pPr>
            <w:r w:rsidRPr="002F6927">
              <w:rPr>
                <w:rFonts w:ascii="Times New Roman" w:eastAsia="Times New Roman" w:hAnsi="Times New Roman" w:cs="Times New Roman"/>
                <w:b/>
                <w:sz w:val="24"/>
                <w:szCs w:val="24"/>
              </w:rPr>
              <w:t>6.1</w:t>
            </w:r>
          </w:p>
          <w:p w:rsidR="003F6387" w:rsidRPr="002F6927" w:rsidRDefault="003F6387" w:rsidP="00D235A3">
            <w:pPr>
              <w:spacing w:after="0" w:line="240" w:lineRule="auto"/>
              <w:jc w:val="center"/>
              <w:rPr>
                <w:rFonts w:ascii="Times New Roman" w:eastAsia="Times New Roman" w:hAnsi="Times New Roman" w:cs="Times New Roman"/>
                <w:b/>
                <w:sz w:val="24"/>
                <w:szCs w:val="24"/>
              </w:rPr>
            </w:pPr>
          </w:p>
        </w:tc>
        <w:tc>
          <w:tcPr>
            <w:tcW w:w="2787"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9</w:t>
            </w:r>
          </w:p>
        </w:tc>
        <w:tc>
          <w:tcPr>
            <w:tcW w:w="2461"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1</w:t>
            </w:r>
          </w:p>
        </w:tc>
        <w:tc>
          <w:tcPr>
            <w:tcW w:w="2576"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90%</w:t>
            </w:r>
          </w:p>
        </w:tc>
      </w:tr>
      <w:tr w:rsidR="003F6387" w:rsidRPr="002F6927" w:rsidTr="00D235A3">
        <w:tc>
          <w:tcPr>
            <w:tcW w:w="2030"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b/>
                <w:sz w:val="24"/>
                <w:szCs w:val="24"/>
              </w:rPr>
            </w:pPr>
            <w:r w:rsidRPr="002F6927">
              <w:rPr>
                <w:rFonts w:ascii="Times New Roman" w:eastAsia="Times New Roman" w:hAnsi="Times New Roman" w:cs="Times New Roman"/>
                <w:b/>
                <w:sz w:val="24"/>
                <w:szCs w:val="24"/>
              </w:rPr>
              <w:t>6.2</w:t>
            </w:r>
          </w:p>
          <w:p w:rsidR="003F6387" w:rsidRPr="002F6927" w:rsidRDefault="003F6387" w:rsidP="00D235A3">
            <w:pPr>
              <w:spacing w:after="0" w:line="240" w:lineRule="auto"/>
              <w:jc w:val="center"/>
              <w:rPr>
                <w:rFonts w:ascii="Times New Roman" w:eastAsia="Times New Roman" w:hAnsi="Times New Roman" w:cs="Times New Roman"/>
                <w:b/>
                <w:sz w:val="24"/>
                <w:szCs w:val="24"/>
              </w:rPr>
            </w:pPr>
          </w:p>
        </w:tc>
        <w:tc>
          <w:tcPr>
            <w:tcW w:w="2787"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2</w:t>
            </w:r>
          </w:p>
        </w:tc>
        <w:tc>
          <w:tcPr>
            <w:tcW w:w="2461"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1</w:t>
            </w:r>
          </w:p>
        </w:tc>
        <w:tc>
          <w:tcPr>
            <w:tcW w:w="2576"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66%</w:t>
            </w:r>
          </w:p>
        </w:tc>
      </w:tr>
      <w:tr w:rsidR="003F6387" w:rsidRPr="002F6927" w:rsidTr="00D235A3">
        <w:tc>
          <w:tcPr>
            <w:tcW w:w="2030"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b/>
                <w:sz w:val="24"/>
                <w:szCs w:val="24"/>
              </w:rPr>
            </w:pPr>
            <w:r w:rsidRPr="002F6927">
              <w:rPr>
                <w:rFonts w:ascii="Times New Roman" w:eastAsia="Times New Roman" w:hAnsi="Times New Roman" w:cs="Times New Roman"/>
                <w:b/>
                <w:sz w:val="24"/>
                <w:szCs w:val="24"/>
              </w:rPr>
              <w:t>6.3</w:t>
            </w:r>
          </w:p>
          <w:p w:rsidR="003F6387" w:rsidRPr="002F6927" w:rsidRDefault="003F6387" w:rsidP="00D235A3">
            <w:pPr>
              <w:spacing w:after="0" w:line="240" w:lineRule="auto"/>
              <w:jc w:val="center"/>
              <w:rPr>
                <w:rFonts w:ascii="Times New Roman" w:eastAsia="Times New Roman" w:hAnsi="Times New Roman" w:cs="Times New Roman"/>
                <w:b/>
                <w:sz w:val="24"/>
                <w:szCs w:val="24"/>
              </w:rPr>
            </w:pPr>
          </w:p>
        </w:tc>
        <w:tc>
          <w:tcPr>
            <w:tcW w:w="2787" w:type="dxa"/>
            <w:shd w:val="clear" w:color="auto" w:fill="auto"/>
          </w:tcPr>
          <w:p w:rsidR="003F6387" w:rsidRPr="002F6927" w:rsidRDefault="00636955" w:rsidP="00D235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61" w:type="dxa"/>
            <w:shd w:val="clear" w:color="auto" w:fill="auto"/>
          </w:tcPr>
          <w:p w:rsidR="003F6387" w:rsidRPr="002F6927" w:rsidRDefault="00636955" w:rsidP="00D235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6" w:type="dxa"/>
            <w:shd w:val="clear" w:color="auto" w:fill="auto"/>
          </w:tcPr>
          <w:p w:rsidR="003F6387" w:rsidRPr="002F6927" w:rsidRDefault="0048695F" w:rsidP="00D235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85,71</w:t>
            </w:r>
            <w:r w:rsidR="003F6387" w:rsidRPr="002F6927">
              <w:rPr>
                <w:rFonts w:ascii="Times New Roman" w:eastAsia="Times New Roman" w:hAnsi="Times New Roman" w:cs="Times New Roman"/>
                <w:sz w:val="24"/>
                <w:szCs w:val="24"/>
              </w:rPr>
              <w:t>%</w:t>
            </w:r>
          </w:p>
        </w:tc>
      </w:tr>
      <w:tr w:rsidR="003F6387" w:rsidRPr="002F6927" w:rsidTr="00D235A3">
        <w:trPr>
          <w:trHeight w:val="612"/>
        </w:trPr>
        <w:tc>
          <w:tcPr>
            <w:tcW w:w="2030"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b/>
                <w:sz w:val="24"/>
                <w:szCs w:val="24"/>
              </w:rPr>
            </w:pPr>
          </w:p>
          <w:p w:rsidR="003F6387" w:rsidRPr="002F6927" w:rsidRDefault="003F6387" w:rsidP="00D235A3">
            <w:pPr>
              <w:spacing w:after="0" w:line="240" w:lineRule="auto"/>
              <w:jc w:val="center"/>
              <w:rPr>
                <w:rFonts w:ascii="Times New Roman" w:eastAsia="Times New Roman" w:hAnsi="Times New Roman" w:cs="Times New Roman"/>
                <w:b/>
                <w:sz w:val="24"/>
                <w:szCs w:val="24"/>
              </w:rPr>
            </w:pPr>
            <w:r w:rsidRPr="002F6927">
              <w:rPr>
                <w:rFonts w:ascii="Times New Roman" w:eastAsia="Times New Roman" w:hAnsi="Times New Roman" w:cs="Times New Roman"/>
                <w:b/>
                <w:sz w:val="24"/>
                <w:szCs w:val="24"/>
              </w:rPr>
              <w:t>Totale</w:t>
            </w:r>
          </w:p>
        </w:tc>
        <w:tc>
          <w:tcPr>
            <w:tcW w:w="2787"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sz w:val="24"/>
                <w:szCs w:val="24"/>
              </w:rPr>
            </w:pPr>
          </w:p>
          <w:p w:rsidR="003F6387" w:rsidRPr="002F6927" w:rsidRDefault="00636955" w:rsidP="00D235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3F6387" w:rsidRPr="002F6927" w:rsidRDefault="003F6387" w:rsidP="00D235A3">
            <w:pPr>
              <w:spacing w:after="0" w:line="240" w:lineRule="auto"/>
              <w:jc w:val="center"/>
              <w:rPr>
                <w:rFonts w:ascii="Times New Roman" w:eastAsia="Times New Roman" w:hAnsi="Times New Roman" w:cs="Times New Roman"/>
                <w:sz w:val="24"/>
                <w:szCs w:val="24"/>
              </w:rPr>
            </w:pPr>
          </w:p>
        </w:tc>
        <w:tc>
          <w:tcPr>
            <w:tcW w:w="2461"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sz w:val="24"/>
                <w:szCs w:val="24"/>
              </w:rPr>
            </w:pPr>
          </w:p>
          <w:p w:rsidR="003F6387" w:rsidRPr="002F6927" w:rsidRDefault="00636955" w:rsidP="00D235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3F6387" w:rsidRPr="002F6927" w:rsidRDefault="003F6387" w:rsidP="00D235A3">
            <w:pPr>
              <w:spacing w:after="0" w:line="240" w:lineRule="auto"/>
              <w:jc w:val="center"/>
              <w:rPr>
                <w:rFonts w:ascii="Times New Roman" w:eastAsia="Times New Roman" w:hAnsi="Times New Roman" w:cs="Times New Roman"/>
                <w:sz w:val="24"/>
                <w:szCs w:val="24"/>
              </w:rPr>
            </w:pPr>
          </w:p>
        </w:tc>
        <w:tc>
          <w:tcPr>
            <w:tcW w:w="2576" w:type="dxa"/>
            <w:shd w:val="clear" w:color="auto" w:fill="auto"/>
          </w:tcPr>
          <w:p w:rsidR="003F6387" w:rsidRPr="002F6927" w:rsidRDefault="003F6387" w:rsidP="00D235A3">
            <w:pPr>
              <w:spacing w:after="0" w:line="240" w:lineRule="auto"/>
              <w:jc w:val="center"/>
              <w:rPr>
                <w:rFonts w:ascii="Times New Roman" w:eastAsia="Times New Roman" w:hAnsi="Times New Roman" w:cs="Times New Roman"/>
                <w:sz w:val="24"/>
                <w:szCs w:val="24"/>
              </w:rPr>
            </w:pPr>
          </w:p>
          <w:p w:rsidR="003F6387" w:rsidRPr="002F6927" w:rsidRDefault="0048695F" w:rsidP="00D235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3F6387" w:rsidRPr="002F6927">
              <w:rPr>
                <w:rFonts w:ascii="Times New Roman" w:eastAsia="Times New Roman" w:hAnsi="Times New Roman" w:cs="Times New Roman"/>
                <w:sz w:val="24"/>
                <w:szCs w:val="24"/>
              </w:rPr>
              <w:t>%</w:t>
            </w:r>
          </w:p>
        </w:tc>
      </w:tr>
    </w:tbl>
    <w:p w:rsidR="003F6387" w:rsidRPr="002F6927" w:rsidRDefault="003F6387" w:rsidP="003F6387">
      <w:pPr>
        <w:autoSpaceDE w:val="0"/>
        <w:autoSpaceDN w:val="0"/>
        <w:adjustRightInd w:val="0"/>
        <w:spacing w:after="120" w:line="240" w:lineRule="auto"/>
        <w:ind w:right="-20"/>
        <w:jc w:val="both"/>
        <w:rPr>
          <w:rFonts w:ascii="Times New Roman" w:hAnsi="Times New Roman" w:cs="Times New Roman"/>
          <w:position w:val="1"/>
          <w:sz w:val="24"/>
          <w:szCs w:val="24"/>
        </w:rPr>
      </w:pPr>
    </w:p>
    <w:p w:rsidR="003F6387" w:rsidRPr="002F6927" w:rsidRDefault="003F6387" w:rsidP="003F6387">
      <w:pPr>
        <w:spacing w:after="0" w:line="240" w:lineRule="auto"/>
        <w:jc w:val="both"/>
        <w:rPr>
          <w:rFonts w:ascii="Times New Roman" w:eastAsia="Times New Roman" w:hAnsi="Times New Roman" w:cs="Times New Roman"/>
          <w:b/>
          <w:sz w:val="24"/>
          <w:szCs w:val="24"/>
        </w:rPr>
      </w:pPr>
      <w:r w:rsidRPr="002F6927">
        <w:rPr>
          <w:rFonts w:ascii="Times New Roman" w:hAnsi="Times New Roman" w:cs="Times New Roman"/>
          <w:position w:val="1"/>
          <w:sz w:val="24"/>
          <w:szCs w:val="24"/>
        </w:rPr>
        <w:t xml:space="preserve">Rispetto al monitoraggio al 30.04.2017, </w:t>
      </w:r>
      <w:r w:rsidR="00636955">
        <w:rPr>
          <w:rFonts w:ascii="Times New Roman" w:hAnsi="Times New Roman" w:cs="Times New Roman"/>
          <w:position w:val="1"/>
          <w:sz w:val="24"/>
          <w:szCs w:val="24"/>
        </w:rPr>
        <w:t>sono stati completati</w:t>
      </w:r>
      <w:r w:rsidRPr="002F6927">
        <w:rPr>
          <w:rFonts w:ascii="Times New Roman" w:hAnsi="Times New Roman" w:cs="Times New Roman"/>
          <w:position w:val="1"/>
          <w:sz w:val="24"/>
          <w:szCs w:val="24"/>
        </w:rPr>
        <w:t xml:space="preserve"> </w:t>
      </w:r>
      <w:r w:rsidR="00636955">
        <w:rPr>
          <w:rFonts w:ascii="Times New Roman" w:hAnsi="Times New Roman" w:cs="Times New Roman"/>
          <w:position w:val="1"/>
          <w:sz w:val="24"/>
          <w:szCs w:val="24"/>
        </w:rPr>
        <w:t>g</w:t>
      </w:r>
      <w:r w:rsidR="00004865" w:rsidRPr="002F6927">
        <w:rPr>
          <w:rFonts w:ascii="Times New Roman" w:hAnsi="Times New Roman" w:cs="Times New Roman"/>
          <w:position w:val="1"/>
          <w:sz w:val="24"/>
          <w:szCs w:val="24"/>
        </w:rPr>
        <w:t>l</w:t>
      </w:r>
      <w:r w:rsidR="00636955">
        <w:rPr>
          <w:rFonts w:ascii="Times New Roman" w:hAnsi="Times New Roman" w:cs="Times New Roman"/>
          <w:position w:val="1"/>
          <w:sz w:val="24"/>
          <w:szCs w:val="24"/>
        </w:rPr>
        <w:t xml:space="preserve">i </w:t>
      </w:r>
      <w:r w:rsidRPr="002F6927">
        <w:rPr>
          <w:rFonts w:ascii="Times New Roman" w:hAnsi="Times New Roman" w:cs="Times New Roman"/>
          <w:position w:val="1"/>
          <w:sz w:val="24"/>
          <w:szCs w:val="24"/>
        </w:rPr>
        <w:t>intervent</w:t>
      </w:r>
      <w:r w:rsidR="00636955">
        <w:rPr>
          <w:rFonts w:ascii="Times New Roman" w:hAnsi="Times New Roman" w:cs="Times New Roman"/>
          <w:position w:val="1"/>
          <w:sz w:val="24"/>
          <w:szCs w:val="24"/>
        </w:rPr>
        <w:t>i</w:t>
      </w:r>
      <w:r w:rsidR="00004865" w:rsidRPr="002F6927">
        <w:rPr>
          <w:rFonts w:ascii="Times New Roman" w:hAnsi="Times New Roman" w:cs="Times New Roman"/>
          <w:position w:val="1"/>
          <w:sz w:val="24"/>
          <w:szCs w:val="24"/>
        </w:rPr>
        <w:t xml:space="preserve"> n. 17</w:t>
      </w:r>
      <w:r w:rsidR="00636955">
        <w:rPr>
          <w:rFonts w:ascii="Times New Roman" w:hAnsi="Times New Roman" w:cs="Times New Roman"/>
          <w:position w:val="1"/>
          <w:sz w:val="24"/>
          <w:szCs w:val="24"/>
        </w:rPr>
        <w:t xml:space="preserve"> e n. 18</w:t>
      </w:r>
      <w:r w:rsidR="00B965AF" w:rsidRPr="002F6927">
        <w:rPr>
          <w:rFonts w:ascii="Times New Roman" w:hAnsi="Times New Roman" w:cs="Times New Roman"/>
          <w:position w:val="1"/>
          <w:sz w:val="24"/>
          <w:szCs w:val="24"/>
        </w:rPr>
        <w:t>.</w:t>
      </w:r>
      <w:r w:rsidRPr="002F6927">
        <w:rPr>
          <w:rFonts w:ascii="Times New Roman" w:eastAsia="Times New Roman" w:hAnsi="Times New Roman" w:cs="Times New Roman"/>
          <w:b/>
          <w:sz w:val="24"/>
          <w:szCs w:val="24"/>
        </w:rPr>
        <w:t xml:space="preserve"> </w:t>
      </w:r>
    </w:p>
    <w:p w:rsidR="003F6387" w:rsidRPr="002F6927" w:rsidRDefault="003F6387" w:rsidP="003F6387">
      <w:pPr>
        <w:autoSpaceDE w:val="0"/>
        <w:autoSpaceDN w:val="0"/>
        <w:adjustRightInd w:val="0"/>
        <w:spacing w:after="120" w:line="240" w:lineRule="auto"/>
        <w:ind w:right="-20"/>
        <w:jc w:val="both"/>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 xml:space="preserve">Tutti i 20 interventi previsti nel PRA del Veneto sono stati attivati. </w:t>
      </w:r>
    </w:p>
    <w:p w:rsidR="003F6387" w:rsidRPr="002F6927" w:rsidRDefault="00034D20" w:rsidP="003F6387">
      <w:pPr>
        <w:autoSpaceDE w:val="0"/>
        <w:autoSpaceDN w:val="0"/>
        <w:adjustRightInd w:val="0"/>
        <w:spacing w:after="120" w:line="240" w:lineRule="auto"/>
        <w:ind w:right="-20"/>
        <w:jc w:val="both"/>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 xml:space="preserve">Gli interventi ancora in corso sono </w:t>
      </w:r>
      <w:r w:rsidR="003F6387" w:rsidRPr="002F6927">
        <w:rPr>
          <w:rFonts w:ascii="Times New Roman" w:eastAsia="Times New Roman" w:hAnsi="Times New Roman" w:cs="Times New Roman"/>
          <w:sz w:val="24"/>
          <w:szCs w:val="24"/>
        </w:rPr>
        <w:t xml:space="preserve">in fase di completamento finale. </w:t>
      </w:r>
    </w:p>
    <w:p w:rsidR="003F6387" w:rsidRPr="002F6927" w:rsidRDefault="003F6387" w:rsidP="00621D2D">
      <w:pPr>
        <w:autoSpaceDE w:val="0"/>
        <w:autoSpaceDN w:val="0"/>
        <w:adjustRightInd w:val="0"/>
        <w:spacing w:after="120" w:line="240" w:lineRule="auto"/>
        <w:ind w:left="40" w:right="-20"/>
        <w:jc w:val="both"/>
        <w:rPr>
          <w:rFonts w:ascii="Times New Roman" w:hAnsi="Times New Roman" w:cs="Times New Roman"/>
          <w:position w:val="1"/>
          <w:sz w:val="24"/>
          <w:szCs w:val="24"/>
        </w:rPr>
      </w:pPr>
    </w:p>
    <w:p w:rsidR="003F6387" w:rsidRPr="002F6927" w:rsidRDefault="003F6387" w:rsidP="003F6387">
      <w:pPr>
        <w:spacing w:after="0" w:line="240" w:lineRule="auto"/>
        <w:jc w:val="both"/>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Di seguito si fornis</w:t>
      </w:r>
      <w:r w:rsidR="00D46F05">
        <w:rPr>
          <w:rFonts w:ascii="Times New Roman" w:eastAsia="Times New Roman" w:hAnsi="Times New Roman" w:cs="Times New Roman"/>
          <w:sz w:val="24"/>
          <w:szCs w:val="24"/>
        </w:rPr>
        <w:t>ce lo stato di avanzamento dei tre</w:t>
      </w:r>
      <w:r w:rsidRPr="002F6927">
        <w:rPr>
          <w:rFonts w:ascii="Times New Roman" w:eastAsia="Times New Roman" w:hAnsi="Times New Roman" w:cs="Times New Roman"/>
          <w:sz w:val="24"/>
          <w:szCs w:val="24"/>
        </w:rPr>
        <w:t xml:space="preserve"> interventi ancora in corso.</w:t>
      </w:r>
    </w:p>
    <w:p w:rsidR="003F6387" w:rsidRPr="002F6927" w:rsidRDefault="003F6387" w:rsidP="003F6387">
      <w:pPr>
        <w:spacing w:after="0" w:line="240" w:lineRule="auto"/>
        <w:jc w:val="both"/>
        <w:rPr>
          <w:rFonts w:ascii="Times New Roman" w:eastAsia="Times New Roman" w:hAnsi="Times New Roman" w:cs="Times New Roman"/>
          <w:b/>
          <w:sz w:val="24"/>
          <w:szCs w:val="24"/>
        </w:rPr>
      </w:pPr>
    </w:p>
    <w:p w:rsidR="00B66704" w:rsidRPr="002F6927" w:rsidRDefault="00B66704" w:rsidP="003F6387">
      <w:pPr>
        <w:spacing w:after="0" w:line="240" w:lineRule="auto"/>
        <w:jc w:val="both"/>
        <w:rPr>
          <w:rFonts w:ascii="Times New Roman" w:eastAsia="Times New Roman" w:hAnsi="Times New Roman" w:cs="Times New Roman"/>
          <w:b/>
          <w:sz w:val="24"/>
          <w:szCs w:val="24"/>
        </w:rPr>
      </w:pPr>
    </w:p>
    <w:p w:rsidR="00B66704" w:rsidRPr="002F6927" w:rsidRDefault="00B66704" w:rsidP="003F6387">
      <w:pPr>
        <w:spacing w:after="0" w:line="240" w:lineRule="auto"/>
        <w:jc w:val="both"/>
        <w:rPr>
          <w:rFonts w:ascii="Times New Roman" w:eastAsia="Times New Roman" w:hAnsi="Times New Roman" w:cs="Times New Roman"/>
          <w:b/>
          <w:sz w:val="24"/>
          <w:szCs w:val="24"/>
        </w:rPr>
      </w:pPr>
    </w:p>
    <w:p w:rsidR="003D40EF" w:rsidRPr="002F6927" w:rsidRDefault="003D40EF" w:rsidP="003D40EF">
      <w:pPr>
        <w:spacing w:after="0" w:line="240" w:lineRule="auto"/>
        <w:jc w:val="both"/>
        <w:rPr>
          <w:rFonts w:ascii="Times New Roman" w:eastAsia="Times New Roman" w:hAnsi="Times New Roman" w:cs="Times New Roman"/>
          <w:b/>
          <w:sz w:val="24"/>
          <w:szCs w:val="24"/>
        </w:rPr>
      </w:pPr>
      <w:r w:rsidRPr="002F6927">
        <w:rPr>
          <w:rFonts w:ascii="Times New Roman" w:eastAsia="Times New Roman" w:hAnsi="Times New Roman" w:cs="Times New Roman"/>
          <w:b/>
          <w:sz w:val="24"/>
          <w:szCs w:val="24"/>
        </w:rPr>
        <w:t>Intervento 2 “Semplificazione delle procedure di gara”</w:t>
      </w:r>
    </w:p>
    <w:p w:rsidR="00636955" w:rsidRPr="00636955" w:rsidRDefault="00636955" w:rsidP="00636955">
      <w:pPr>
        <w:spacing w:after="0" w:line="240" w:lineRule="auto"/>
        <w:jc w:val="both"/>
        <w:rPr>
          <w:rFonts w:asciiTheme="majorHAnsi" w:eastAsia="Times New Roman" w:hAnsiTheme="majorHAnsi" w:cs="Times New Roman"/>
          <w:sz w:val="24"/>
          <w:szCs w:val="24"/>
        </w:rPr>
      </w:pPr>
      <w:r w:rsidRPr="00222414">
        <w:rPr>
          <w:rFonts w:asciiTheme="majorHAnsi" w:eastAsia="Times New Roman" w:hAnsiTheme="majorHAnsi" w:cs="Times New Roman"/>
          <w:sz w:val="24"/>
          <w:szCs w:val="24"/>
        </w:rPr>
        <w:t xml:space="preserve">Successivamente all’adozione del D. Lgs. n. 50/2016 la Regione del Veneto può assumere solo indicazioni operative. In data 17 maggio 2016 la Giunta regionale ha avviato la procedura per l’approvazione di una Legge Regionale. </w:t>
      </w:r>
      <w:r w:rsidRPr="00636955">
        <w:rPr>
          <w:rFonts w:asciiTheme="majorHAnsi" w:eastAsia="Times New Roman" w:hAnsiTheme="majorHAnsi" w:cs="Times New Roman"/>
          <w:sz w:val="24"/>
          <w:szCs w:val="24"/>
        </w:rPr>
        <w:t xml:space="preserve">La  norma di semplificazione, contenuta nell’originario disegno di legge (art. 29 PDL n. 144)  è stata trasposta, negli identici termini, in un nuovo disegno di legge attualmente all’esame del Consiglio regionale (art. 43 PDL n. </w:t>
      </w:r>
      <w:r w:rsidR="00D06641">
        <w:rPr>
          <w:rFonts w:asciiTheme="majorHAnsi" w:eastAsia="Times New Roman" w:hAnsiTheme="majorHAnsi" w:cs="Times New Roman"/>
          <w:sz w:val="24"/>
          <w:szCs w:val="24"/>
        </w:rPr>
        <w:t>2</w:t>
      </w:r>
      <w:r w:rsidRPr="00636955">
        <w:rPr>
          <w:rFonts w:asciiTheme="majorHAnsi" w:eastAsia="Times New Roman" w:hAnsiTheme="majorHAnsi" w:cs="Times New Roman"/>
          <w:sz w:val="24"/>
          <w:szCs w:val="24"/>
        </w:rPr>
        <w:t>60 “Legge di semplificazione e di manutenzione ordinamentale 2017"). La proposta normativa è nello specifico intesa ad autorizzare la Giunta regionale ad adottare specifici atti di indirizzo di carattere vincolante. Il disegno di legge è ancora all’esame del Consiglio regionale.</w:t>
      </w:r>
    </w:p>
    <w:p w:rsidR="00636955" w:rsidRPr="00222414" w:rsidRDefault="00636955" w:rsidP="00636955">
      <w:pPr>
        <w:spacing w:after="0" w:line="240" w:lineRule="auto"/>
        <w:jc w:val="both"/>
        <w:rPr>
          <w:rFonts w:asciiTheme="majorHAnsi" w:eastAsia="Times New Roman" w:hAnsiTheme="majorHAnsi" w:cs="Times New Roman"/>
          <w:sz w:val="24"/>
          <w:szCs w:val="24"/>
        </w:rPr>
      </w:pPr>
      <w:r w:rsidRPr="00636955">
        <w:rPr>
          <w:rFonts w:asciiTheme="majorHAnsi" w:eastAsia="Times New Roman" w:hAnsiTheme="majorHAnsi" w:cs="Times New Roman"/>
          <w:sz w:val="24"/>
          <w:szCs w:val="24"/>
        </w:rPr>
        <w:t>Nelle more del procedimento legislativo è stata avviata l'attività istruttoria preliminare per individuare i possibili contenuti operativi di semplificazione. Inoltre, si segnala l’ adozione, da parte della Giunta regionale, di linee guida operative sugli appalti sotto soglia, indirizzate alle Strutture regionali per supportare le attività contrattuali di competenza.</w:t>
      </w:r>
      <w:r w:rsidRPr="00222414">
        <w:rPr>
          <w:rFonts w:asciiTheme="majorHAnsi" w:eastAsia="Times New Roman" w:hAnsiTheme="majorHAnsi" w:cs="Times New Roman"/>
          <w:sz w:val="24"/>
          <w:szCs w:val="24"/>
        </w:rPr>
        <w:t xml:space="preserve">  </w:t>
      </w:r>
    </w:p>
    <w:p w:rsidR="003D40EF" w:rsidRPr="002F6927" w:rsidRDefault="003D40EF" w:rsidP="003D40EF">
      <w:pPr>
        <w:spacing w:after="120" w:line="240" w:lineRule="auto"/>
        <w:jc w:val="both"/>
        <w:outlineLvl w:val="0"/>
        <w:rPr>
          <w:rFonts w:ascii="Times New Roman" w:hAnsi="Times New Roman" w:cs="Times New Roman"/>
          <w:b/>
          <w:sz w:val="24"/>
          <w:szCs w:val="24"/>
        </w:rPr>
      </w:pPr>
    </w:p>
    <w:p w:rsidR="003D40EF" w:rsidRPr="002F6927" w:rsidRDefault="003D40EF" w:rsidP="003D40EF">
      <w:pPr>
        <w:spacing w:after="0" w:line="240" w:lineRule="auto"/>
        <w:jc w:val="both"/>
        <w:rPr>
          <w:rFonts w:ascii="Times New Roman" w:eastAsia="Times New Roman" w:hAnsi="Times New Roman" w:cs="Times New Roman"/>
          <w:sz w:val="24"/>
          <w:szCs w:val="24"/>
        </w:rPr>
      </w:pPr>
      <w:r w:rsidRPr="002F6927">
        <w:rPr>
          <w:rFonts w:ascii="Times New Roman" w:eastAsia="Times New Roman" w:hAnsi="Times New Roman" w:cs="Times New Roman"/>
          <w:b/>
          <w:sz w:val="24"/>
          <w:szCs w:val="24"/>
        </w:rPr>
        <w:t>Intervento 11 “Razionalizzazione delle risorse umane dedicate ai PO”</w:t>
      </w:r>
    </w:p>
    <w:p w:rsidR="003D40EF" w:rsidRPr="002F6927" w:rsidRDefault="003D40EF" w:rsidP="003D40EF">
      <w:pPr>
        <w:spacing w:after="0" w:line="240" w:lineRule="auto"/>
        <w:jc w:val="both"/>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A maggio 2016 è stato approvato il Piano delle assunzioni per l'anno 2016 che affronta la necessità di rinforzo di personale previsto dal PRA.</w:t>
      </w:r>
    </w:p>
    <w:p w:rsidR="003D40EF" w:rsidRPr="002F6927" w:rsidRDefault="003D40EF" w:rsidP="003D40EF">
      <w:pPr>
        <w:spacing w:after="0" w:line="240" w:lineRule="auto"/>
        <w:jc w:val="both"/>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Dopo che il Dipartimento della Funzione Pubblica con circolare del 18.07.2016 ha ripristinato le ordinarie facoltà di assunzione di personale per le Amministrazioni che hanno completato l’allocazione del personale proveniente dalle ex Province, sono state avviate le procedure per l’acquisizione del personale che sarà assegnato prioritariamente alle SRA.</w:t>
      </w:r>
    </w:p>
    <w:p w:rsidR="003D40EF" w:rsidRPr="002F6927" w:rsidRDefault="003D40EF" w:rsidP="003D40EF">
      <w:pPr>
        <w:spacing w:after="0" w:line="240" w:lineRule="auto"/>
        <w:jc w:val="both"/>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Dopo aver pubblicato gli avvisi di mobilità esterna volontaria ed interna, il 26.08.2016 sono usciti i bandi di concorso per 5 distinti profili professionali.</w:t>
      </w:r>
    </w:p>
    <w:p w:rsidR="003D40EF" w:rsidRPr="002F6927" w:rsidRDefault="003D40EF" w:rsidP="003D40EF">
      <w:pPr>
        <w:spacing w:after="0" w:line="240" w:lineRule="auto"/>
        <w:jc w:val="both"/>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 xml:space="preserve">Le procedure concorsuali, in considerazione dell’elevato numero di domande pervenute, si chiuderanno nel corso del 2017. </w:t>
      </w:r>
    </w:p>
    <w:p w:rsidR="003D40EF" w:rsidRPr="002F6927" w:rsidRDefault="003D40EF" w:rsidP="003D40EF">
      <w:pPr>
        <w:spacing w:after="0" w:line="240" w:lineRule="auto"/>
        <w:jc w:val="both"/>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Nel frattempo si è proceduto a prorogare davanti alla competente Direzione Provinciale Territoriale del Ministero del Lavoro i contratti in scadenza per ulteriori 12 mesi.</w:t>
      </w:r>
    </w:p>
    <w:p w:rsidR="00E41DC3" w:rsidRPr="002F6927" w:rsidRDefault="00E41DC3" w:rsidP="00E41DC3">
      <w:pPr>
        <w:spacing w:after="0" w:line="240" w:lineRule="auto"/>
        <w:jc w:val="both"/>
        <w:rPr>
          <w:rFonts w:ascii="Times New Roman" w:eastAsia="Times New Roman" w:hAnsi="Times New Roman" w:cs="Times New Roman"/>
          <w:sz w:val="24"/>
          <w:szCs w:val="24"/>
        </w:rPr>
      </w:pPr>
      <w:r w:rsidRPr="002F6927">
        <w:rPr>
          <w:rFonts w:ascii="Times New Roman" w:eastAsia="Times New Roman" w:hAnsi="Times New Roman" w:cs="Times New Roman"/>
          <w:sz w:val="24"/>
          <w:szCs w:val="24"/>
        </w:rPr>
        <w:t xml:space="preserve">Entro il mese di ottobre 2017 saranno completate le procedure concorsuali destinate all’assunzione di personale a tempo indeterminato a supporto delle SRA. </w:t>
      </w:r>
    </w:p>
    <w:p w:rsidR="00A3251C" w:rsidRDefault="00A3251C" w:rsidP="00E70CE8">
      <w:pPr>
        <w:autoSpaceDE w:val="0"/>
        <w:autoSpaceDN w:val="0"/>
        <w:adjustRightInd w:val="0"/>
        <w:spacing w:after="120" w:line="240" w:lineRule="auto"/>
        <w:ind w:right="-20"/>
        <w:jc w:val="both"/>
        <w:rPr>
          <w:rFonts w:ascii="Times New Roman" w:hAnsi="Times New Roman" w:cs="Times New Roman"/>
          <w:position w:val="1"/>
          <w:sz w:val="24"/>
          <w:szCs w:val="24"/>
        </w:rPr>
      </w:pPr>
    </w:p>
    <w:p w:rsidR="00A3251C" w:rsidRPr="00E70CE8" w:rsidRDefault="00A3251C" w:rsidP="00A3251C">
      <w:pPr>
        <w:spacing w:after="0" w:line="240" w:lineRule="auto"/>
        <w:jc w:val="both"/>
        <w:rPr>
          <w:rFonts w:ascii="Times New Roman" w:eastAsia="Times New Roman" w:hAnsi="Times New Roman" w:cs="Times New Roman"/>
          <w:b/>
          <w:sz w:val="24"/>
          <w:szCs w:val="24"/>
        </w:rPr>
      </w:pPr>
      <w:r w:rsidRPr="00E70CE8">
        <w:rPr>
          <w:rFonts w:ascii="Times New Roman" w:eastAsia="Times New Roman" w:hAnsi="Times New Roman" w:cs="Times New Roman"/>
          <w:b/>
          <w:sz w:val="24"/>
          <w:szCs w:val="24"/>
        </w:rPr>
        <w:t>Intervento 14 “Implementazione del nuovo Sistema Informativo Unitario della programmazione 2014/2020”</w:t>
      </w:r>
    </w:p>
    <w:p w:rsidR="00513653" w:rsidRPr="00513653" w:rsidRDefault="00513653" w:rsidP="00513653">
      <w:pPr>
        <w:autoSpaceDE w:val="0"/>
        <w:autoSpaceDN w:val="0"/>
        <w:adjustRightInd w:val="0"/>
        <w:spacing w:after="120" w:line="240" w:lineRule="auto"/>
        <w:ind w:left="40" w:right="-20"/>
        <w:jc w:val="both"/>
        <w:rPr>
          <w:rFonts w:ascii="Times New Roman" w:hAnsi="Times New Roman" w:cs="Times New Roman"/>
          <w:position w:val="1"/>
          <w:sz w:val="24"/>
          <w:szCs w:val="24"/>
        </w:rPr>
      </w:pPr>
      <w:r>
        <w:rPr>
          <w:rFonts w:asciiTheme="majorHAnsi" w:eastAsia="Times New Roman" w:hAnsiTheme="majorHAnsi" w:cs="Times New Roman"/>
          <w:sz w:val="24"/>
          <w:szCs w:val="24"/>
        </w:rPr>
        <w:t>Sono stati ultimati l'Anagrafe Unica ed il global design. Sono stati realizzati i servizi di integrazione con il protocollo regionale e rilasciati in produzione: il modulo di gestione accessi e deleghe, il modulo di presentazione istanze FESR ed il modulo di gestione istruttoria per le domande FESR. Sono stati pubblicati e configurati numerosi bandi FESR e le relative domande di sostegno sono state presentate alle SRA competenti attraverso l’utilizzo del SIU.</w:t>
      </w:r>
    </w:p>
    <w:p w:rsidR="00513653" w:rsidRDefault="00513653" w:rsidP="00513653">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È stato realizzato il modulo di  presentazione delle domande di pagamento e l’istruttoria di pagamento e liquidazione per il FESR, che è stato rilasciato in produzione come previsto a gennaio 2017.</w:t>
      </w:r>
    </w:p>
    <w:p w:rsidR="00513653" w:rsidRPr="00A42534" w:rsidRDefault="00513653" w:rsidP="00513653">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Il supporto al FEASR è stato completato alla fine del 2016, mentre per il FSE le attività di </w:t>
      </w:r>
      <w:r w:rsidRPr="00F4101F">
        <w:rPr>
          <w:rFonts w:asciiTheme="majorHAnsi" w:eastAsia="Times New Roman" w:hAnsiTheme="majorHAnsi" w:cs="Times New Roman"/>
          <w:sz w:val="24"/>
          <w:szCs w:val="24"/>
        </w:rPr>
        <w:t>analisi e sviluppo sono in corso: in particolare è stato rilasciato in produzione il modulo di presentazione delle domande.</w:t>
      </w:r>
    </w:p>
    <w:p w:rsidR="00513653" w:rsidRDefault="00513653" w:rsidP="00513653">
      <w:pPr>
        <w:spacing w:after="0" w:line="240" w:lineRule="auto"/>
        <w:jc w:val="both"/>
        <w:rPr>
          <w:rFonts w:asciiTheme="majorHAnsi" w:eastAsia="Times New Roman" w:hAnsiTheme="majorHAnsi" w:cs="Times New Roman"/>
          <w:sz w:val="24"/>
          <w:szCs w:val="24"/>
        </w:rPr>
      </w:pPr>
    </w:p>
    <w:p w:rsidR="00513653" w:rsidRDefault="00513653" w:rsidP="00513653">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Tra le attività comuni è stata consegnata l’analisi relativa ai moduli di certificazione, gestione controlli e irregolarità. Sono inoltre in fase di collaudo, e verranno quanto prima rilasciati in produzione: il modulo per la trasmissione dei dati di monitoraggio, la certificazione della spesa, il modulo per la gestione delle attività di audit, l’interfacciamento con il sistema contabile regionale, le specifiche per la trasparenza e l’accessibilità.</w:t>
      </w:r>
    </w:p>
    <w:p w:rsidR="00513653" w:rsidRPr="00F4101F" w:rsidRDefault="00513653" w:rsidP="00513653">
      <w:pPr>
        <w:spacing w:after="0" w:line="240" w:lineRule="auto"/>
        <w:jc w:val="both"/>
        <w:rPr>
          <w:rFonts w:asciiTheme="majorHAnsi" w:eastAsia="Times New Roman" w:hAnsiTheme="majorHAnsi" w:cs="Times New Roman"/>
          <w:sz w:val="24"/>
          <w:szCs w:val="24"/>
        </w:rPr>
      </w:pPr>
      <w:r w:rsidRPr="00F4101F">
        <w:rPr>
          <w:rFonts w:asciiTheme="majorHAnsi" w:eastAsia="Times New Roman" w:hAnsiTheme="majorHAnsi" w:cs="Times New Roman"/>
          <w:sz w:val="24"/>
          <w:szCs w:val="24"/>
        </w:rPr>
        <w:t>Durante lo sviluppo del progetto sono intervenuti due accadimenti imprevisti, che hanno procrastinato la conclusione del progetto, e richiesto ulteriori risorse.</w:t>
      </w:r>
    </w:p>
    <w:p w:rsidR="00513653" w:rsidRPr="00F4101F" w:rsidRDefault="00513653" w:rsidP="00513653">
      <w:pPr>
        <w:spacing w:after="0" w:line="240" w:lineRule="auto"/>
        <w:jc w:val="both"/>
        <w:rPr>
          <w:rFonts w:asciiTheme="majorHAnsi" w:eastAsia="Times New Roman" w:hAnsiTheme="majorHAnsi" w:cs="Times New Roman"/>
          <w:sz w:val="24"/>
          <w:szCs w:val="24"/>
        </w:rPr>
      </w:pPr>
      <w:r w:rsidRPr="00F4101F">
        <w:rPr>
          <w:rFonts w:asciiTheme="majorHAnsi" w:eastAsia="Times New Roman" w:hAnsiTheme="majorHAnsi" w:cs="Times New Roman"/>
          <w:sz w:val="24"/>
          <w:szCs w:val="24"/>
        </w:rPr>
        <w:t>Con deliberazione n. 226 del 28 febbraio 2017 la Giunta Regionale del Veneto ha individuato AVEPA (Agenzia Veneta per i Pagamenti in Agricoltura) quale Organismo Intermedio per la gestione di parte del POR FESR 2014-2020: questo ha comportato veloci interventi non previsti per l’adeguamento della procedura, e l’interfacciamento con i sistemi di Avepa.</w:t>
      </w:r>
    </w:p>
    <w:p w:rsidR="00513653" w:rsidRDefault="00513653" w:rsidP="00513653">
      <w:pPr>
        <w:spacing w:after="0" w:line="240" w:lineRule="auto"/>
        <w:jc w:val="both"/>
        <w:rPr>
          <w:rFonts w:asciiTheme="majorHAnsi" w:eastAsia="Times New Roman" w:hAnsiTheme="majorHAnsi" w:cs="Times New Roman"/>
          <w:sz w:val="24"/>
          <w:szCs w:val="24"/>
        </w:rPr>
      </w:pPr>
      <w:r w:rsidRPr="00F4101F">
        <w:rPr>
          <w:rFonts w:asciiTheme="majorHAnsi" w:eastAsia="Times New Roman" w:hAnsiTheme="majorHAnsi" w:cs="Times New Roman"/>
          <w:sz w:val="24"/>
          <w:szCs w:val="24"/>
        </w:rPr>
        <w:t>Inoltre si è aggiunto al progetto iniziale anche il supporto all’Autorità di Gestione del programma di cooperazione transfrontaliera Italia-Croazia, che ha inevitabilmente comportato notevole consumo di risorse e di tempo, per lo sviluppo delle funzionalità necessarie a questo particolare programma.</w:t>
      </w:r>
      <w:r>
        <w:rPr>
          <w:rFonts w:asciiTheme="majorHAnsi" w:eastAsia="Times New Roman" w:hAnsiTheme="majorHAnsi" w:cs="Times New Roman"/>
          <w:sz w:val="24"/>
          <w:szCs w:val="24"/>
        </w:rPr>
        <w:t xml:space="preserve">  </w:t>
      </w:r>
    </w:p>
    <w:p w:rsidR="00513653" w:rsidRDefault="00513653" w:rsidP="00513653">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Infine, è in fase di analisi e sviluppo, come pianificato, il datawarehouse per l’analisi dei dati.</w:t>
      </w:r>
    </w:p>
    <w:p w:rsidR="00513653" w:rsidRDefault="00513653" w:rsidP="00513653">
      <w:pPr>
        <w:spacing w:after="0" w:line="240" w:lineRule="auto"/>
        <w:jc w:val="both"/>
        <w:rPr>
          <w:rFonts w:asciiTheme="majorHAnsi" w:eastAsia="Times New Roman" w:hAnsiTheme="majorHAnsi" w:cs="Times New Roman"/>
          <w:sz w:val="24"/>
          <w:szCs w:val="24"/>
        </w:rPr>
      </w:pPr>
    </w:p>
    <w:p w:rsidR="00513653" w:rsidRDefault="00513653" w:rsidP="00513653">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Sono invece stati completati i seguenti interventi.</w:t>
      </w:r>
    </w:p>
    <w:p w:rsidR="003D40EF" w:rsidRPr="00E70CE8" w:rsidRDefault="003D40EF" w:rsidP="003D40EF">
      <w:pPr>
        <w:autoSpaceDE w:val="0"/>
        <w:autoSpaceDN w:val="0"/>
        <w:adjustRightInd w:val="0"/>
        <w:spacing w:after="120" w:line="240" w:lineRule="auto"/>
        <w:ind w:left="40" w:right="-20"/>
        <w:jc w:val="both"/>
        <w:rPr>
          <w:rFonts w:ascii="Times New Roman" w:hAnsi="Times New Roman" w:cs="Times New Roman"/>
          <w:position w:val="1"/>
          <w:sz w:val="24"/>
          <w:szCs w:val="24"/>
        </w:rPr>
      </w:pPr>
      <w:r w:rsidRPr="00E70CE8">
        <w:rPr>
          <w:rFonts w:ascii="Times New Roman" w:hAnsi="Times New Roman" w:cs="Times New Roman"/>
          <w:position w:val="1"/>
          <w:sz w:val="24"/>
          <w:szCs w:val="24"/>
        </w:rPr>
        <w:t>L’</w:t>
      </w:r>
      <w:r w:rsidRPr="00E70CE8">
        <w:rPr>
          <w:rFonts w:ascii="Times New Roman" w:hAnsi="Times New Roman" w:cs="Times New Roman"/>
          <w:b/>
          <w:position w:val="1"/>
          <w:sz w:val="24"/>
          <w:szCs w:val="24"/>
        </w:rPr>
        <w:t>intervento n. 17</w:t>
      </w:r>
      <w:r w:rsidRPr="00E70CE8">
        <w:rPr>
          <w:rFonts w:ascii="Times New Roman" w:hAnsi="Times New Roman" w:cs="Times New Roman"/>
          <w:position w:val="1"/>
          <w:sz w:val="24"/>
          <w:szCs w:val="24"/>
        </w:rPr>
        <w:t>, recante titolo “Aiuti di Stato: misure per reingegnerizzazione del Registro Nazionale degli aiuti di Stato e attivazione sito web dedicato”, è stato completato e il relativo target conseguito.</w:t>
      </w:r>
    </w:p>
    <w:p w:rsidR="003D40EF" w:rsidRPr="002F6927" w:rsidRDefault="003D40EF" w:rsidP="003D40EF">
      <w:pPr>
        <w:spacing w:after="0" w:line="240" w:lineRule="auto"/>
        <w:jc w:val="both"/>
        <w:rPr>
          <w:rFonts w:ascii="Times New Roman" w:eastAsia="Times New Roman" w:hAnsi="Times New Roman" w:cs="Times New Roman"/>
          <w:b/>
          <w:sz w:val="24"/>
          <w:szCs w:val="24"/>
        </w:rPr>
      </w:pPr>
      <w:r w:rsidRPr="002F6927">
        <w:rPr>
          <w:rFonts w:ascii="Times New Roman" w:eastAsia="Times New Roman" w:hAnsi="Times New Roman" w:cs="Times New Roman"/>
          <w:b/>
          <w:sz w:val="24"/>
          <w:szCs w:val="24"/>
        </w:rPr>
        <w:t>Intervento 18 “Appalti pubblici: interventi di supporto per la soluzione di problematiche tecnico-amministrative e creazione sistema di condivisione”</w:t>
      </w:r>
    </w:p>
    <w:p w:rsidR="00636955" w:rsidRPr="00222414" w:rsidRDefault="00636955" w:rsidP="00636955">
      <w:pPr>
        <w:spacing w:after="0" w:line="240" w:lineRule="auto"/>
        <w:jc w:val="both"/>
        <w:rPr>
          <w:rFonts w:asciiTheme="majorHAnsi" w:eastAsia="Times New Roman" w:hAnsiTheme="majorHAnsi" w:cs="Arial"/>
          <w:sz w:val="24"/>
          <w:szCs w:val="24"/>
        </w:rPr>
      </w:pPr>
      <w:r w:rsidRPr="00222414">
        <w:rPr>
          <w:rFonts w:asciiTheme="majorHAnsi" w:eastAsia="Times New Roman" w:hAnsiTheme="majorHAnsi" w:cs="Arial"/>
          <w:sz w:val="24"/>
          <w:szCs w:val="24"/>
        </w:rPr>
        <w:t>a) Attività di cui ai punti 2 e 4 dell’intervento n. 18 del PRA</w:t>
      </w:r>
    </w:p>
    <w:p w:rsidR="00636955" w:rsidRPr="00222414" w:rsidRDefault="00636955" w:rsidP="00636955">
      <w:pPr>
        <w:spacing w:after="0" w:line="240" w:lineRule="auto"/>
        <w:jc w:val="both"/>
        <w:rPr>
          <w:rFonts w:asciiTheme="majorHAnsi" w:eastAsia="Times New Roman" w:hAnsiTheme="majorHAnsi" w:cs="Arial"/>
          <w:sz w:val="24"/>
          <w:szCs w:val="24"/>
        </w:rPr>
      </w:pPr>
      <w:r w:rsidRPr="00222414">
        <w:rPr>
          <w:rFonts w:asciiTheme="majorHAnsi" w:eastAsia="Times New Roman" w:hAnsiTheme="majorHAnsi" w:cs="Arial"/>
          <w:sz w:val="24"/>
          <w:szCs w:val="24"/>
        </w:rPr>
        <w:t>Il modello di convenzione tipo per i servizi di progettazione (punto 2) è stato adeguato a seguito del D. Lgs. n. 50/2016. Seguirà la valutazione di coerenza con le Linee guida ANAC relative agli indirizzi generali sull’affidamento dei servizi attinenti all’architettura e all’ingegneria. Lo schema di convenzione è stato esaminato dalla Commissione appalti, non appena costituita, nella seduta del 14.12.2016 per l’acquisizione del parere preliminare ed è stato approvato definitivamente dalla Giunta regionale con Delibera di Giunta Regionale n. 2301 del 30 dicembre 2016.</w:t>
      </w:r>
    </w:p>
    <w:p w:rsidR="00636955" w:rsidRPr="00222414" w:rsidRDefault="00636955" w:rsidP="00636955">
      <w:pPr>
        <w:spacing w:after="0" w:line="240" w:lineRule="auto"/>
        <w:jc w:val="both"/>
        <w:rPr>
          <w:rFonts w:asciiTheme="majorHAnsi" w:eastAsia="Times New Roman" w:hAnsiTheme="majorHAnsi" w:cs="Arial"/>
          <w:sz w:val="24"/>
          <w:szCs w:val="24"/>
        </w:rPr>
      </w:pPr>
    </w:p>
    <w:p w:rsidR="00636955" w:rsidRPr="00222414" w:rsidRDefault="00636955" w:rsidP="00636955">
      <w:pPr>
        <w:spacing w:after="0" w:line="240" w:lineRule="auto"/>
        <w:jc w:val="both"/>
        <w:rPr>
          <w:rFonts w:asciiTheme="majorHAnsi" w:eastAsia="Times New Roman" w:hAnsiTheme="majorHAnsi" w:cs="Arial"/>
          <w:sz w:val="24"/>
          <w:szCs w:val="24"/>
        </w:rPr>
      </w:pPr>
      <w:r w:rsidRPr="00222414">
        <w:rPr>
          <w:rFonts w:asciiTheme="majorHAnsi" w:eastAsia="Times New Roman" w:hAnsiTheme="majorHAnsi" w:cs="Arial"/>
          <w:sz w:val="24"/>
          <w:szCs w:val="24"/>
        </w:rPr>
        <w:t>b) Attività di cui ai punti 1, 3, 5, 6, 7 e 8 dell’intervento n. 18 del PRA</w:t>
      </w:r>
    </w:p>
    <w:p w:rsidR="00636955" w:rsidRPr="00222414" w:rsidRDefault="00636955" w:rsidP="00636955">
      <w:pPr>
        <w:spacing w:after="0" w:line="240" w:lineRule="auto"/>
        <w:jc w:val="both"/>
        <w:rPr>
          <w:rFonts w:asciiTheme="majorHAnsi" w:eastAsia="Times New Roman" w:hAnsiTheme="majorHAnsi" w:cs="Arial"/>
          <w:sz w:val="24"/>
          <w:szCs w:val="24"/>
        </w:rPr>
      </w:pPr>
      <w:r w:rsidRPr="00222414">
        <w:rPr>
          <w:rFonts w:asciiTheme="majorHAnsi" w:eastAsia="Times New Roman" w:hAnsiTheme="majorHAnsi" w:cs="Arial"/>
          <w:sz w:val="24"/>
          <w:szCs w:val="24"/>
        </w:rPr>
        <w:t>Queste attività sono state perfez</w:t>
      </w:r>
      <w:r w:rsidR="00D46F05">
        <w:rPr>
          <w:rFonts w:asciiTheme="majorHAnsi" w:eastAsia="Times New Roman" w:hAnsiTheme="majorHAnsi" w:cs="Arial"/>
          <w:sz w:val="24"/>
          <w:szCs w:val="24"/>
        </w:rPr>
        <w:t>ionate e per loro natura sono</w:t>
      </w:r>
      <w:r w:rsidRPr="00222414">
        <w:rPr>
          <w:rFonts w:asciiTheme="majorHAnsi" w:eastAsia="Times New Roman" w:hAnsiTheme="majorHAnsi" w:cs="Arial"/>
          <w:sz w:val="24"/>
          <w:szCs w:val="24"/>
        </w:rPr>
        <w:t xml:space="preserve"> sottoposte a un aggiornamento continuo o periodico.</w:t>
      </w:r>
    </w:p>
    <w:p w:rsidR="00636955" w:rsidRPr="00222414" w:rsidRDefault="00636955" w:rsidP="00636955">
      <w:pPr>
        <w:spacing w:after="0" w:line="240" w:lineRule="auto"/>
        <w:jc w:val="both"/>
        <w:rPr>
          <w:rFonts w:asciiTheme="majorHAnsi" w:eastAsia="Times New Roman" w:hAnsiTheme="majorHAnsi" w:cs="Arial"/>
          <w:sz w:val="24"/>
          <w:szCs w:val="24"/>
        </w:rPr>
      </w:pPr>
    </w:p>
    <w:p w:rsidR="00636955" w:rsidRPr="00E7557D" w:rsidRDefault="00636955" w:rsidP="00636955">
      <w:pPr>
        <w:spacing w:after="0" w:line="240" w:lineRule="auto"/>
        <w:jc w:val="both"/>
        <w:rPr>
          <w:rFonts w:asciiTheme="majorHAnsi" w:eastAsia="Times New Roman" w:hAnsiTheme="majorHAnsi" w:cs="Arial"/>
          <w:sz w:val="24"/>
          <w:szCs w:val="24"/>
        </w:rPr>
      </w:pPr>
      <w:r w:rsidRPr="00222414">
        <w:rPr>
          <w:rFonts w:asciiTheme="majorHAnsi" w:eastAsia="Times New Roman" w:hAnsiTheme="majorHAnsi" w:cs="Arial"/>
          <w:sz w:val="24"/>
          <w:szCs w:val="24"/>
        </w:rPr>
        <w:t xml:space="preserve">In particolare, per le attività di cui al punto 5 (capitolati tecnici tipo per varie tipologie di opere) si stanno valutando i necessari aggiornamenti, anche alla luce delle nuove disposizioni in materia di </w:t>
      </w:r>
      <w:r w:rsidRPr="00222414">
        <w:rPr>
          <w:rFonts w:asciiTheme="majorHAnsi" w:eastAsia="Times New Roman" w:hAnsiTheme="majorHAnsi" w:cs="Arial"/>
          <w:i/>
          <w:sz w:val="24"/>
          <w:szCs w:val="24"/>
        </w:rPr>
        <w:t>green economy</w:t>
      </w:r>
      <w:r w:rsidRPr="00222414">
        <w:rPr>
          <w:rFonts w:asciiTheme="majorHAnsi" w:eastAsia="Times New Roman" w:hAnsiTheme="majorHAnsi" w:cs="Arial"/>
          <w:sz w:val="24"/>
          <w:szCs w:val="24"/>
        </w:rPr>
        <w:t>.</w:t>
      </w:r>
    </w:p>
    <w:p w:rsidR="00636955" w:rsidRPr="00636955" w:rsidRDefault="00636955" w:rsidP="00636955">
      <w:pPr>
        <w:spacing w:after="0" w:line="240" w:lineRule="auto"/>
        <w:jc w:val="both"/>
        <w:rPr>
          <w:rFonts w:asciiTheme="majorHAnsi" w:eastAsia="Times New Roman" w:hAnsiTheme="majorHAnsi" w:cs="Arial"/>
          <w:sz w:val="24"/>
          <w:szCs w:val="24"/>
        </w:rPr>
      </w:pPr>
      <w:r w:rsidRPr="00222414">
        <w:rPr>
          <w:rFonts w:asciiTheme="majorHAnsi" w:eastAsia="Times New Roman" w:hAnsiTheme="majorHAnsi" w:cs="Arial"/>
          <w:sz w:val="24"/>
          <w:szCs w:val="24"/>
        </w:rPr>
        <w:t>La Commissione appalti, non appena costituita, nella seduta del 14.12.2016 ha proceduto, altresì, all’esame del prezzario regionale 2014, successivamente adottato dalla Giunta regionale con DGR/CR n. 50 in data 8 maggio 2017.</w:t>
      </w:r>
      <w:r>
        <w:rPr>
          <w:rFonts w:asciiTheme="majorHAnsi" w:eastAsia="Times New Roman" w:hAnsiTheme="majorHAnsi" w:cs="Arial"/>
          <w:sz w:val="24"/>
          <w:szCs w:val="24"/>
        </w:rPr>
        <w:t xml:space="preserve"> </w:t>
      </w:r>
      <w:r w:rsidRPr="00636955">
        <w:rPr>
          <w:rFonts w:asciiTheme="majorHAnsi" w:eastAsia="Times New Roman" w:hAnsiTheme="majorHAnsi" w:cs="Arial"/>
          <w:sz w:val="24"/>
          <w:szCs w:val="24"/>
        </w:rPr>
        <w:t>A perfezionamento dell’iter si evidenzia che il prezzario è stato esaminato dalla competente Commissione consiliare in data 15 giugno 2017 che si è espressa con il parere n. 205</w:t>
      </w:r>
      <w:r w:rsidR="00F84166">
        <w:rPr>
          <w:rFonts w:asciiTheme="majorHAnsi" w:eastAsia="Times New Roman" w:hAnsiTheme="majorHAnsi" w:cs="Arial"/>
          <w:sz w:val="24"/>
          <w:szCs w:val="24"/>
        </w:rPr>
        <w:t>, recepito i</w:t>
      </w:r>
      <w:r w:rsidRPr="00636955">
        <w:rPr>
          <w:rFonts w:asciiTheme="majorHAnsi" w:eastAsia="Times New Roman" w:hAnsiTheme="majorHAnsi" w:cs="Arial"/>
          <w:sz w:val="24"/>
          <w:szCs w:val="24"/>
        </w:rPr>
        <w:t xml:space="preserve">n data </w:t>
      </w:r>
      <w:r>
        <w:rPr>
          <w:rFonts w:asciiTheme="majorHAnsi" w:eastAsia="Times New Roman" w:hAnsiTheme="majorHAnsi" w:cs="Arial"/>
          <w:sz w:val="24"/>
          <w:szCs w:val="24"/>
        </w:rPr>
        <w:t xml:space="preserve">25 settembre </w:t>
      </w:r>
      <w:r w:rsidR="00F84166">
        <w:rPr>
          <w:rFonts w:asciiTheme="majorHAnsi" w:eastAsia="Times New Roman" w:hAnsiTheme="majorHAnsi" w:cs="Arial"/>
          <w:sz w:val="24"/>
          <w:szCs w:val="24"/>
        </w:rPr>
        <w:t>dal</w:t>
      </w:r>
      <w:r w:rsidRPr="00636955">
        <w:rPr>
          <w:rFonts w:asciiTheme="majorHAnsi" w:eastAsia="Times New Roman" w:hAnsiTheme="majorHAnsi" w:cs="Arial"/>
          <w:sz w:val="24"/>
          <w:szCs w:val="24"/>
        </w:rPr>
        <w:t>la relativa delibera di approvazione.</w:t>
      </w:r>
    </w:p>
    <w:p w:rsidR="00B66704" w:rsidRDefault="00B66704" w:rsidP="003F6387">
      <w:pPr>
        <w:spacing w:after="0" w:line="240" w:lineRule="auto"/>
        <w:jc w:val="both"/>
        <w:rPr>
          <w:rFonts w:ascii="Times New Roman" w:eastAsia="Times New Roman" w:hAnsi="Times New Roman" w:cs="Times New Roman"/>
          <w:sz w:val="24"/>
          <w:szCs w:val="24"/>
        </w:rPr>
      </w:pPr>
    </w:p>
    <w:p w:rsidR="00636955" w:rsidRPr="002F6927" w:rsidRDefault="00636955" w:rsidP="003F6387">
      <w:pPr>
        <w:spacing w:after="0" w:line="240" w:lineRule="auto"/>
        <w:jc w:val="both"/>
        <w:rPr>
          <w:rFonts w:ascii="Times New Roman" w:eastAsia="Times New Roman" w:hAnsi="Times New Roman" w:cs="Times New Roman"/>
          <w:b/>
          <w:sz w:val="24"/>
          <w:szCs w:val="24"/>
        </w:rPr>
      </w:pPr>
    </w:p>
    <w:p w:rsidR="00621D2D" w:rsidRPr="002F6927" w:rsidRDefault="00621D2D" w:rsidP="00621D2D">
      <w:pPr>
        <w:spacing w:after="120" w:line="240" w:lineRule="auto"/>
        <w:jc w:val="both"/>
        <w:outlineLvl w:val="0"/>
        <w:rPr>
          <w:rFonts w:ascii="Times New Roman" w:eastAsia="Calibri" w:hAnsi="Times New Roman" w:cs="Times New Roman"/>
          <w:b/>
          <w:sz w:val="24"/>
          <w:szCs w:val="24"/>
          <w:u w:val="single"/>
        </w:rPr>
      </w:pPr>
      <w:r w:rsidRPr="002F6927">
        <w:rPr>
          <w:rFonts w:ascii="Times New Roman" w:eastAsia="Calibri" w:hAnsi="Times New Roman" w:cs="Times New Roman"/>
          <w:b/>
          <w:sz w:val="24"/>
          <w:szCs w:val="24"/>
          <w:u w:val="single"/>
        </w:rPr>
        <w:t>Sezione 2 - i risultati conseguiti dagli interventi</w:t>
      </w:r>
    </w:p>
    <w:p w:rsidR="00D27D58" w:rsidRPr="002F6927" w:rsidRDefault="00D27D58" w:rsidP="00D27D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risultati raggiunti per i due ulteriori interventi conclusi rispetto al precedente monitoraggio sono i seguenti.</w:t>
      </w:r>
    </w:p>
    <w:p w:rsidR="00D27D58" w:rsidRPr="002F6927" w:rsidRDefault="00D27D58" w:rsidP="00D27D58">
      <w:pPr>
        <w:autoSpaceDE w:val="0"/>
        <w:autoSpaceDN w:val="0"/>
        <w:adjustRightInd w:val="0"/>
        <w:spacing w:after="120" w:line="240" w:lineRule="auto"/>
        <w:ind w:left="40" w:right="-20"/>
        <w:jc w:val="both"/>
        <w:rPr>
          <w:rFonts w:ascii="Times New Roman" w:hAnsi="Times New Roman" w:cs="Times New Roman"/>
          <w:position w:val="1"/>
          <w:sz w:val="24"/>
          <w:szCs w:val="24"/>
        </w:rPr>
      </w:pPr>
      <w:r w:rsidRPr="002F6927">
        <w:rPr>
          <w:rFonts w:ascii="Times New Roman" w:hAnsi="Times New Roman" w:cs="Times New Roman"/>
          <w:position w:val="1"/>
          <w:sz w:val="24"/>
          <w:szCs w:val="24"/>
        </w:rPr>
        <w:t>Per quanto riguarda l’</w:t>
      </w:r>
      <w:r w:rsidRPr="002F6927">
        <w:rPr>
          <w:rFonts w:ascii="Times New Roman" w:hAnsi="Times New Roman" w:cs="Times New Roman"/>
          <w:b/>
          <w:position w:val="1"/>
          <w:sz w:val="24"/>
          <w:szCs w:val="24"/>
        </w:rPr>
        <w:t>Intervento n. 17</w:t>
      </w:r>
      <w:r w:rsidRPr="002F6927">
        <w:rPr>
          <w:rFonts w:ascii="Times New Roman" w:hAnsi="Times New Roman" w:cs="Times New Roman"/>
          <w:position w:val="1"/>
          <w:sz w:val="24"/>
          <w:szCs w:val="24"/>
        </w:rPr>
        <w:t xml:space="preserve">, recante titolo </w:t>
      </w:r>
      <w:r>
        <w:rPr>
          <w:rFonts w:ascii="Times New Roman" w:hAnsi="Times New Roman" w:cs="Times New Roman"/>
          <w:position w:val="1"/>
          <w:sz w:val="24"/>
          <w:szCs w:val="24"/>
        </w:rPr>
        <w:t>“</w:t>
      </w:r>
      <w:r w:rsidRPr="002F6927">
        <w:rPr>
          <w:rFonts w:ascii="Times New Roman" w:hAnsi="Times New Roman" w:cs="Times New Roman"/>
          <w:position w:val="1"/>
          <w:sz w:val="24"/>
          <w:szCs w:val="24"/>
        </w:rPr>
        <w:t>Aiuti di Stato: misure per reingegnerizzazione del Registro Nazionale degli Aiuti di Stato e attivazione sito web dedicato”, le Strutture che gestiscono aiuti di Stato provvedono all’implementazione e alla consultazione del RNA.</w:t>
      </w:r>
    </w:p>
    <w:p w:rsidR="00D27D58" w:rsidRPr="00636955" w:rsidRDefault="00D27D58" w:rsidP="00D27D58">
      <w:pPr>
        <w:autoSpaceDE w:val="0"/>
        <w:autoSpaceDN w:val="0"/>
        <w:adjustRightInd w:val="0"/>
        <w:spacing w:after="120" w:line="240" w:lineRule="auto"/>
        <w:ind w:left="40" w:right="-20"/>
        <w:jc w:val="both"/>
        <w:rPr>
          <w:rFonts w:ascii="Times New Roman" w:hAnsi="Times New Roman" w:cs="Times New Roman"/>
          <w:position w:val="1"/>
          <w:sz w:val="24"/>
          <w:szCs w:val="24"/>
        </w:rPr>
      </w:pPr>
      <w:r w:rsidRPr="00636955">
        <w:rPr>
          <w:rFonts w:ascii="Times New Roman" w:hAnsi="Times New Roman" w:cs="Times New Roman"/>
          <w:position w:val="1"/>
          <w:sz w:val="24"/>
          <w:szCs w:val="24"/>
        </w:rPr>
        <w:t>Con particolare riguardo alle attività periodiche di cui al punto 6 dell’</w:t>
      </w:r>
      <w:r w:rsidRPr="00636955">
        <w:rPr>
          <w:rFonts w:ascii="Times New Roman" w:hAnsi="Times New Roman" w:cs="Times New Roman"/>
          <w:b/>
          <w:position w:val="1"/>
          <w:sz w:val="24"/>
          <w:szCs w:val="24"/>
        </w:rPr>
        <w:t>Intervento 18</w:t>
      </w:r>
      <w:r w:rsidRPr="00636955">
        <w:rPr>
          <w:rFonts w:ascii="Times New Roman" w:hAnsi="Times New Roman" w:cs="Times New Roman"/>
          <w:position w:val="1"/>
          <w:sz w:val="24"/>
          <w:szCs w:val="24"/>
        </w:rPr>
        <w:t xml:space="preserve">, si segnala che, da ultimo, la Relazione annuale appalti 2015, adottata con provvedimento CR n. 41 del 14/04/2017,  è stata esaminata dalla competente Commissione consiliare con rendicontazione n. 68 del 15 giugno 2017. </w:t>
      </w:r>
    </w:p>
    <w:p w:rsidR="00D27D58" w:rsidRDefault="00D27D58" w:rsidP="003D40EF">
      <w:pPr>
        <w:spacing w:after="0" w:line="240" w:lineRule="auto"/>
        <w:jc w:val="both"/>
        <w:rPr>
          <w:rFonts w:ascii="Times New Roman" w:eastAsia="Times New Roman" w:hAnsi="Times New Roman" w:cs="Times New Roman"/>
          <w:sz w:val="24"/>
          <w:szCs w:val="24"/>
        </w:rPr>
      </w:pPr>
    </w:p>
    <w:p w:rsidR="00D46F05" w:rsidRDefault="00D27D58" w:rsidP="003D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segnalano, inoltr</w:t>
      </w:r>
      <w:r w:rsidR="00D46F05">
        <w:rPr>
          <w:rFonts w:ascii="Times New Roman" w:eastAsia="Times New Roman" w:hAnsi="Times New Roman" w:cs="Times New Roman"/>
          <w:sz w:val="24"/>
          <w:szCs w:val="24"/>
        </w:rPr>
        <w:t>e</w:t>
      </w:r>
      <w:r>
        <w:rPr>
          <w:rFonts w:ascii="Times New Roman" w:eastAsia="Times New Roman" w:hAnsi="Times New Roman" w:cs="Times New Roman"/>
          <w:sz w:val="24"/>
          <w:szCs w:val="24"/>
        </w:rPr>
        <w:t>, i risultati raggiunti grazie a</w:t>
      </w:r>
      <w:r w:rsidR="00D46F05">
        <w:rPr>
          <w:rFonts w:ascii="Times New Roman" w:eastAsia="Times New Roman" w:hAnsi="Times New Roman" w:cs="Times New Roman"/>
          <w:sz w:val="24"/>
          <w:szCs w:val="24"/>
        </w:rPr>
        <w:t>gli interventi in fase di completamento finale.</w:t>
      </w:r>
    </w:p>
    <w:p w:rsidR="003D40EF" w:rsidRPr="00D46F05" w:rsidRDefault="00D46F05" w:rsidP="00D46F05">
      <w:pPr>
        <w:spacing w:after="0" w:line="240" w:lineRule="auto"/>
        <w:jc w:val="both"/>
        <w:rPr>
          <w:rFonts w:ascii="Times New Roman" w:eastAsia="Times New Roman" w:hAnsi="Times New Roman" w:cs="Times New Roman"/>
          <w:sz w:val="24"/>
          <w:szCs w:val="24"/>
        </w:rPr>
      </w:pPr>
      <w:r w:rsidRPr="00D46F05">
        <w:rPr>
          <w:rFonts w:ascii="Times New Roman" w:eastAsia="Times New Roman" w:hAnsi="Times New Roman" w:cs="Times New Roman"/>
          <w:sz w:val="24"/>
          <w:szCs w:val="24"/>
        </w:rPr>
        <w:t>Per l’</w:t>
      </w:r>
      <w:r w:rsidR="003D40EF" w:rsidRPr="00D46F05">
        <w:rPr>
          <w:rFonts w:ascii="Times New Roman" w:eastAsia="Times New Roman" w:hAnsi="Times New Roman" w:cs="Times New Roman"/>
          <w:b/>
          <w:sz w:val="24"/>
          <w:szCs w:val="24"/>
        </w:rPr>
        <w:t xml:space="preserve">Intervento </w:t>
      </w:r>
      <w:r w:rsidR="00F831B0" w:rsidRPr="00D46F05">
        <w:rPr>
          <w:rFonts w:ascii="Times New Roman" w:eastAsia="Times New Roman" w:hAnsi="Times New Roman" w:cs="Times New Roman"/>
          <w:b/>
          <w:sz w:val="24"/>
          <w:szCs w:val="24"/>
        </w:rPr>
        <w:t xml:space="preserve">n. </w:t>
      </w:r>
      <w:r w:rsidR="003D40EF" w:rsidRPr="00D46F05">
        <w:rPr>
          <w:rFonts w:ascii="Times New Roman" w:eastAsia="Times New Roman" w:hAnsi="Times New Roman" w:cs="Times New Roman"/>
          <w:b/>
          <w:sz w:val="24"/>
          <w:szCs w:val="24"/>
        </w:rPr>
        <w:t>11</w:t>
      </w:r>
      <w:r w:rsidR="003D40EF" w:rsidRPr="00D46F05">
        <w:rPr>
          <w:rFonts w:ascii="Times New Roman" w:eastAsia="Times New Roman" w:hAnsi="Times New Roman" w:cs="Times New Roman"/>
          <w:sz w:val="24"/>
          <w:szCs w:val="24"/>
        </w:rPr>
        <w:t xml:space="preserve"> </w:t>
      </w:r>
      <w:r w:rsidR="00D40E84" w:rsidRPr="00D46F05">
        <w:rPr>
          <w:rFonts w:ascii="Times New Roman" w:eastAsia="Times New Roman" w:hAnsi="Times New Roman" w:cs="Times New Roman"/>
          <w:sz w:val="24"/>
          <w:szCs w:val="24"/>
        </w:rPr>
        <w:t>n</w:t>
      </w:r>
      <w:r w:rsidR="003D40EF" w:rsidRPr="00D46F05">
        <w:rPr>
          <w:rFonts w:ascii="Times New Roman" w:eastAsia="Times New Roman" w:hAnsi="Times New Roman" w:cs="Times New Roman"/>
          <w:sz w:val="24"/>
          <w:szCs w:val="24"/>
        </w:rPr>
        <w:t xml:space="preserve">el mese di aprile 2017, concluse le procedure di mobilità esterna, sono entrate stabilmente nell’organico regionale n. 10 unità e altri n. 6 candidati idonei a breve saranno acquisiti. </w:t>
      </w:r>
    </w:p>
    <w:p w:rsidR="00D46F05" w:rsidRDefault="00D46F05" w:rsidP="00D46F05">
      <w:pPr>
        <w:autoSpaceDE w:val="0"/>
        <w:autoSpaceDN w:val="0"/>
        <w:adjustRightInd w:val="0"/>
        <w:spacing w:after="120" w:line="240" w:lineRule="auto"/>
        <w:ind w:left="40" w:right="-20"/>
        <w:jc w:val="both"/>
        <w:rPr>
          <w:rFonts w:ascii="Times New Roman" w:hAnsi="Times New Roman" w:cs="Times New Roman"/>
          <w:position w:val="1"/>
          <w:sz w:val="24"/>
          <w:szCs w:val="24"/>
        </w:rPr>
      </w:pPr>
      <w:r>
        <w:rPr>
          <w:rFonts w:ascii="Times New Roman" w:hAnsi="Times New Roman" w:cs="Times New Roman"/>
          <w:position w:val="1"/>
          <w:sz w:val="24"/>
          <w:szCs w:val="24"/>
        </w:rPr>
        <w:t xml:space="preserve">Il sistema realizzato </w:t>
      </w:r>
      <w:r w:rsidR="00D27D58">
        <w:rPr>
          <w:rFonts w:ascii="Times New Roman" w:hAnsi="Times New Roman" w:cs="Times New Roman"/>
          <w:position w:val="1"/>
          <w:sz w:val="24"/>
          <w:szCs w:val="24"/>
        </w:rPr>
        <w:t xml:space="preserve">con </w:t>
      </w:r>
      <w:r>
        <w:rPr>
          <w:rFonts w:ascii="Times New Roman" w:hAnsi="Times New Roman" w:cs="Times New Roman"/>
          <w:position w:val="1"/>
          <w:sz w:val="24"/>
          <w:szCs w:val="24"/>
        </w:rPr>
        <w:t>l’</w:t>
      </w:r>
      <w:r w:rsidRPr="00987DB5">
        <w:rPr>
          <w:rFonts w:ascii="Times New Roman" w:hAnsi="Times New Roman" w:cs="Times New Roman"/>
          <w:b/>
          <w:position w:val="1"/>
          <w:sz w:val="24"/>
          <w:szCs w:val="24"/>
        </w:rPr>
        <w:t>Intervento 14</w:t>
      </w:r>
      <w:r>
        <w:rPr>
          <w:rFonts w:ascii="Times New Roman" w:hAnsi="Times New Roman" w:cs="Times New Roman"/>
          <w:position w:val="1"/>
          <w:sz w:val="24"/>
          <w:szCs w:val="24"/>
        </w:rPr>
        <w:t xml:space="preserve"> ha consentito:</w:t>
      </w:r>
    </w:p>
    <w:p w:rsidR="00513653" w:rsidRPr="006001F9" w:rsidRDefault="00513653" w:rsidP="00513653">
      <w:pPr>
        <w:pStyle w:val="Paragrafoelenco"/>
        <w:numPr>
          <w:ilvl w:val="0"/>
          <w:numId w:val="7"/>
        </w:numPr>
        <w:autoSpaceDE w:val="0"/>
        <w:autoSpaceDN w:val="0"/>
        <w:adjustRightInd w:val="0"/>
        <w:spacing w:after="120" w:line="240" w:lineRule="auto"/>
        <w:ind w:right="-20"/>
        <w:jc w:val="both"/>
        <w:rPr>
          <w:rFonts w:ascii="Times New Roman" w:hAnsi="Times New Roman" w:cs="Times New Roman"/>
          <w:position w:val="1"/>
          <w:sz w:val="24"/>
          <w:szCs w:val="24"/>
        </w:rPr>
      </w:pPr>
      <w:r w:rsidRPr="00F4101F">
        <w:rPr>
          <w:rFonts w:ascii="Times New Roman" w:eastAsia="Calibri" w:hAnsi="Times New Roman" w:cs="Times New Roman"/>
          <w:sz w:val="24"/>
          <w:szCs w:val="24"/>
        </w:rPr>
        <w:t xml:space="preserve">di procedere alla pubblicazione dei bandi FESR, </w:t>
      </w:r>
      <w:r w:rsidRPr="00F4101F">
        <w:rPr>
          <w:rFonts w:ascii="Times New Roman" w:hAnsi="Times New Roman" w:cs="Times New Roman"/>
          <w:position w:val="1"/>
          <w:sz w:val="24"/>
          <w:szCs w:val="24"/>
        </w:rPr>
        <w:t>alla presentazione delle domande da parte dei soggetti richiedenti,</w:t>
      </w:r>
      <w:r w:rsidRPr="00F4101F">
        <w:rPr>
          <w:rFonts w:ascii="Times New Roman" w:eastAsia="Calibri" w:hAnsi="Times New Roman" w:cs="Times New Roman"/>
          <w:sz w:val="24"/>
          <w:szCs w:val="24"/>
        </w:rPr>
        <w:t xml:space="preserve"> quindi alla raccolta delle domande e all’istruttoria delle stesse,</w:t>
      </w:r>
      <w:r w:rsidRPr="00F4101F">
        <w:rPr>
          <w:rFonts w:ascii="Times New Roman" w:hAnsi="Times New Roman" w:cs="Times New Roman"/>
          <w:position w:val="1"/>
          <w:sz w:val="24"/>
          <w:szCs w:val="24"/>
        </w:rPr>
        <w:t xml:space="preserve"> alla presentazione delle domande di pagamento</w:t>
      </w:r>
      <w:r w:rsidRPr="00F4101F">
        <w:rPr>
          <w:rFonts w:ascii="Times New Roman" w:eastAsia="Calibri" w:hAnsi="Times New Roman" w:cs="Times New Roman"/>
          <w:sz w:val="24"/>
          <w:szCs w:val="24"/>
        </w:rPr>
        <w:t xml:space="preserve"> </w:t>
      </w:r>
      <w:r w:rsidRPr="00F4101F">
        <w:rPr>
          <w:rFonts w:ascii="Times New Roman" w:hAnsi="Times New Roman" w:cs="Times New Roman"/>
          <w:position w:val="1"/>
          <w:sz w:val="24"/>
          <w:szCs w:val="24"/>
        </w:rPr>
        <w:t>e all’istruttoria delle stesse,</w:t>
      </w:r>
      <w:r>
        <w:rPr>
          <w:rFonts w:ascii="Times New Roman" w:eastAsia="Calibri" w:hAnsi="Times New Roman" w:cs="Times New Roman"/>
          <w:sz w:val="24"/>
          <w:szCs w:val="24"/>
        </w:rPr>
        <w:t xml:space="preserve"> nonché</w:t>
      </w:r>
      <w:r w:rsidRPr="00F4101F">
        <w:rPr>
          <w:rFonts w:ascii="Times New Roman" w:eastAsia="Calibri" w:hAnsi="Times New Roman" w:cs="Times New Roman"/>
          <w:sz w:val="24"/>
          <w:szCs w:val="24"/>
        </w:rPr>
        <w:t xml:space="preserve"> alla liquidazione degli importi anche da parte di Avepa, in particolare con la realizzazione di nuovi profili utente per consentire la visibilità del processo di istruttoria sia ad Avepa sia alle diverse SRA competenti.</w:t>
      </w:r>
      <w:r>
        <w:rPr>
          <w:rFonts w:ascii="Times New Roman" w:eastAsia="Calibri" w:hAnsi="Times New Roman" w:cs="Times New Roman"/>
          <w:sz w:val="24"/>
          <w:szCs w:val="24"/>
        </w:rPr>
        <w:t xml:space="preserve"> </w:t>
      </w:r>
      <w:r>
        <w:rPr>
          <w:rFonts w:ascii="Times New Roman" w:hAnsi="Times New Roman" w:cs="Times New Roman"/>
          <w:position w:val="1"/>
          <w:sz w:val="24"/>
          <w:szCs w:val="24"/>
        </w:rPr>
        <w:t>Ha consentito altresì di attivare la trasmissione dei dati di monitoraggio verso IGRUE;</w:t>
      </w:r>
    </w:p>
    <w:p w:rsidR="00513653" w:rsidRDefault="00513653" w:rsidP="00513653">
      <w:pPr>
        <w:pStyle w:val="Paragrafoelenco"/>
        <w:numPr>
          <w:ilvl w:val="0"/>
          <w:numId w:val="7"/>
        </w:numPr>
        <w:autoSpaceDE w:val="0"/>
        <w:autoSpaceDN w:val="0"/>
        <w:adjustRightInd w:val="0"/>
        <w:spacing w:after="120" w:line="240" w:lineRule="auto"/>
        <w:ind w:right="-20"/>
        <w:jc w:val="both"/>
        <w:rPr>
          <w:rFonts w:ascii="Times New Roman" w:hAnsi="Times New Roman" w:cs="Times New Roman"/>
          <w:position w:val="1"/>
          <w:sz w:val="24"/>
          <w:szCs w:val="24"/>
        </w:rPr>
      </w:pPr>
      <w:r>
        <w:rPr>
          <w:rFonts w:ascii="Times New Roman" w:hAnsi="Times New Roman" w:cs="Times New Roman"/>
          <w:position w:val="1"/>
          <w:sz w:val="24"/>
          <w:szCs w:val="24"/>
        </w:rPr>
        <w:t>di procedere alla pubblicazione dei bandi FSE per Lavoro e Formazione e alla presentazione delle domande di adesione da parte dei soggetti richiedenti;</w:t>
      </w:r>
    </w:p>
    <w:p w:rsidR="00513653" w:rsidRDefault="00513653" w:rsidP="00513653">
      <w:pPr>
        <w:pStyle w:val="Paragrafoelenco"/>
        <w:numPr>
          <w:ilvl w:val="0"/>
          <w:numId w:val="7"/>
        </w:numPr>
        <w:autoSpaceDE w:val="0"/>
        <w:autoSpaceDN w:val="0"/>
        <w:adjustRightInd w:val="0"/>
        <w:spacing w:after="120" w:line="240" w:lineRule="auto"/>
        <w:ind w:right="-20"/>
        <w:jc w:val="both"/>
        <w:rPr>
          <w:rFonts w:ascii="Times New Roman" w:hAnsi="Times New Roman" w:cs="Times New Roman"/>
          <w:position w:val="1"/>
          <w:sz w:val="24"/>
          <w:szCs w:val="24"/>
        </w:rPr>
      </w:pPr>
      <w:r>
        <w:rPr>
          <w:rFonts w:ascii="Times New Roman" w:hAnsi="Times New Roman" w:cs="Times New Roman"/>
          <w:position w:val="1"/>
          <w:sz w:val="24"/>
          <w:szCs w:val="24"/>
        </w:rPr>
        <w:t>di procedere alla pubblicazione dei bandi ITA-HR e alla presentazione delle domande da parte dei soggetti richiedenti.</w:t>
      </w:r>
    </w:p>
    <w:p w:rsidR="00513653" w:rsidRPr="00D341D3" w:rsidRDefault="00513653" w:rsidP="00513653">
      <w:pPr>
        <w:autoSpaceDE w:val="0"/>
        <w:autoSpaceDN w:val="0"/>
        <w:adjustRightInd w:val="0"/>
        <w:spacing w:after="120" w:line="240" w:lineRule="auto"/>
        <w:ind w:right="-20"/>
        <w:jc w:val="both"/>
        <w:rPr>
          <w:rFonts w:ascii="Times New Roman" w:hAnsi="Times New Roman" w:cs="Times New Roman"/>
          <w:position w:val="1"/>
          <w:sz w:val="24"/>
          <w:szCs w:val="24"/>
        </w:rPr>
      </w:pPr>
      <w:r>
        <w:rPr>
          <w:rFonts w:ascii="Times New Roman" w:hAnsi="Times New Roman" w:cs="Times New Roman"/>
          <w:position w:val="1"/>
          <w:sz w:val="24"/>
          <w:szCs w:val="24"/>
        </w:rPr>
        <w:t>La realizzazione del sistema ha consentito la designazione dell’Autorità di Gestione FESR da parte dell’Autorità di Audit con il supporto di IGRUE e SOGEI.</w:t>
      </w:r>
    </w:p>
    <w:p w:rsidR="00636955" w:rsidRPr="002F6927" w:rsidRDefault="00636955" w:rsidP="00621D2D">
      <w:pPr>
        <w:spacing w:after="120" w:line="240" w:lineRule="auto"/>
        <w:jc w:val="both"/>
        <w:outlineLvl w:val="0"/>
        <w:rPr>
          <w:rFonts w:ascii="Times New Roman" w:eastAsia="Calibri" w:hAnsi="Times New Roman" w:cs="Times New Roman"/>
          <w:b/>
          <w:sz w:val="24"/>
          <w:szCs w:val="24"/>
          <w:u w:val="single"/>
        </w:rPr>
      </w:pPr>
    </w:p>
    <w:p w:rsidR="00D40E84" w:rsidRDefault="00621D2D" w:rsidP="00621D2D">
      <w:pPr>
        <w:spacing w:after="120" w:line="240" w:lineRule="auto"/>
        <w:jc w:val="both"/>
        <w:outlineLvl w:val="0"/>
        <w:rPr>
          <w:rFonts w:ascii="Times New Roman" w:eastAsia="Calibri" w:hAnsi="Times New Roman" w:cs="Times New Roman"/>
          <w:b/>
          <w:sz w:val="24"/>
          <w:szCs w:val="24"/>
          <w:u w:val="single"/>
        </w:rPr>
      </w:pPr>
      <w:r w:rsidRPr="002F6927">
        <w:rPr>
          <w:rFonts w:ascii="Times New Roman" w:eastAsia="Calibri" w:hAnsi="Times New Roman" w:cs="Times New Roman"/>
          <w:b/>
          <w:sz w:val="24"/>
          <w:szCs w:val="24"/>
          <w:u w:val="single"/>
        </w:rPr>
        <w:t>Sezione 3 - i principali probl</w:t>
      </w:r>
      <w:r w:rsidR="005623DE">
        <w:rPr>
          <w:rFonts w:ascii="Times New Roman" w:eastAsia="Calibri" w:hAnsi="Times New Roman" w:cs="Times New Roman"/>
          <w:b/>
          <w:sz w:val="24"/>
          <w:szCs w:val="24"/>
          <w:u w:val="single"/>
        </w:rPr>
        <w:t>emi incontrati dagli interventi</w:t>
      </w:r>
    </w:p>
    <w:p w:rsidR="005623DE" w:rsidRPr="006F4D99" w:rsidRDefault="006F4D99" w:rsidP="00621D2D">
      <w:pPr>
        <w:spacing w:after="120" w:line="240" w:lineRule="auto"/>
        <w:jc w:val="both"/>
        <w:outlineLvl w:val="0"/>
        <w:rPr>
          <w:rFonts w:ascii="Times New Roman" w:eastAsia="Calibri" w:hAnsi="Times New Roman" w:cs="Times New Roman"/>
          <w:sz w:val="24"/>
          <w:szCs w:val="24"/>
        </w:rPr>
      </w:pPr>
      <w:r w:rsidRPr="006F4D99">
        <w:rPr>
          <w:rFonts w:ascii="Times New Roman" w:eastAsia="Calibri" w:hAnsi="Times New Roman" w:cs="Times New Roman"/>
          <w:sz w:val="24"/>
          <w:szCs w:val="24"/>
        </w:rPr>
        <w:t>Si rilevano le seguenti criticità, con riferimento agli specifici interventi.</w:t>
      </w:r>
    </w:p>
    <w:p w:rsidR="00034D20" w:rsidRPr="006F4D99" w:rsidRDefault="00D40E84" w:rsidP="006F4D99">
      <w:pPr>
        <w:spacing w:after="0" w:line="240" w:lineRule="auto"/>
        <w:jc w:val="both"/>
        <w:rPr>
          <w:rFonts w:ascii="Times New Roman" w:eastAsia="Times New Roman" w:hAnsi="Times New Roman" w:cs="Times New Roman"/>
          <w:sz w:val="24"/>
          <w:szCs w:val="24"/>
        </w:rPr>
      </w:pPr>
      <w:r w:rsidRPr="006F4D99">
        <w:rPr>
          <w:rFonts w:ascii="Times New Roman" w:hAnsi="Times New Roman" w:cs="Times New Roman"/>
          <w:b/>
          <w:position w:val="1"/>
          <w:sz w:val="24"/>
          <w:szCs w:val="24"/>
        </w:rPr>
        <w:t>I</w:t>
      </w:r>
      <w:r w:rsidR="00034D20" w:rsidRPr="006F4D99">
        <w:rPr>
          <w:rFonts w:ascii="Times New Roman" w:hAnsi="Times New Roman" w:cs="Times New Roman"/>
          <w:b/>
          <w:position w:val="1"/>
          <w:sz w:val="24"/>
          <w:szCs w:val="24"/>
        </w:rPr>
        <w:t>nterventi nn. 2 e 18</w:t>
      </w:r>
      <w:r w:rsidR="00034D20" w:rsidRPr="006F4D99">
        <w:rPr>
          <w:rFonts w:ascii="Times New Roman" w:hAnsi="Times New Roman" w:cs="Times New Roman"/>
          <w:position w:val="1"/>
          <w:sz w:val="24"/>
          <w:szCs w:val="24"/>
        </w:rPr>
        <w:t xml:space="preserve">: </w:t>
      </w:r>
      <w:r w:rsidR="00034D20" w:rsidRPr="006F4D99">
        <w:rPr>
          <w:rFonts w:ascii="Times New Roman" w:eastAsia="Times New Roman" w:hAnsi="Times New Roman" w:cs="Times New Roman"/>
          <w:sz w:val="24"/>
          <w:szCs w:val="24"/>
        </w:rPr>
        <w:t xml:space="preserve">rapida evoluzione della normativa statale e dei relativi atti di indirizzo, anche per il recepimento del D.Lgs. n. 50/2016, che ha rinviato a numerosi provvedimenti attuativi. Limitazione degli spazi regionali di azione. Difficoltà tecnico-amministrative per la conclusione dell'attività di </w:t>
      </w:r>
      <w:r w:rsidRPr="006F4D99">
        <w:rPr>
          <w:rFonts w:ascii="Times New Roman" w:eastAsia="Times New Roman" w:hAnsi="Times New Roman" w:cs="Times New Roman"/>
          <w:sz w:val="24"/>
          <w:szCs w:val="24"/>
        </w:rPr>
        <w:t>approvazione del Prezzario 2014.</w:t>
      </w:r>
    </w:p>
    <w:p w:rsidR="00621D2D" w:rsidRPr="006F4D99" w:rsidRDefault="00D40E84" w:rsidP="006F4D99">
      <w:pPr>
        <w:spacing w:after="0" w:line="240" w:lineRule="auto"/>
        <w:jc w:val="both"/>
        <w:rPr>
          <w:rFonts w:ascii="Times New Roman" w:hAnsi="Times New Roman" w:cs="Times New Roman"/>
          <w:position w:val="1"/>
          <w:sz w:val="24"/>
          <w:szCs w:val="24"/>
        </w:rPr>
      </w:pPr>
      <w:r w:rsidRPr="006F4D99">
        <w:rPr>
          <w:rFonts w:ascii="Times New Roman" w:eastAsia="Times New Roman" w:hAnsi="Times New Roman" w:cs="Times New Roman"/>
          <w:b/>
          <w:sz w:val="24"/>
          <w:szCs w:val="24"/>
        </w:rPr>
        <w:t>I</w:t>
      </w:r>
      <w:r w:rsidR="00034D20" w:rsidRPr="006F4D99">
        <w:rPr>
          <w:rFonts w:ascii="Times New Roman" w:eastAsia="Times New Roman" w:hAnsi="Times New Roman" w:cs="Times New Roman"/>
          <w:b/>
          <w:sz w:val="24"/>
          <w:szCs w:val="24"/>
        </w:rPr>
        <w:t>ntervento n. 11</w:t>
      </w:r>
      <w:r w:rsidR="00034D20" w:rsidRPr="006F4D99">
        <w:rPr>
          <w:rFonts w:ascii="Times New Roman" w:eastAsia="Times New Roman" w:hAnsi="Times New Roman" w:cs="Times New Roman"/>
          <w:sz w:val="24"/>
          <w:szCs w:val="24"/>
        </w:rPr>
        <w:t>: L’allocazione del personale proveniente dalle ex Province ha ritardato l’avvio delle procedure concorsuali, in quanto solo con circolare del 18.07.2016 la Funzione Pubblica ha ripristinato le ordinarie facoltà di assunzione di personale.</w:t>
      </w:r>
      <w:r w:rsidR="00034D20" w:rsidRPr="006F4D99">
        <w:rPr>
          <w:rFonts w:ascii="Times New Roman" w:hAnsi="Times New Roman" w:cs="Times New Roman"/>
          <w:position w:val="1"/>
          <w:sz w:val="24"/>
          <w:szCs w:val="24"/>
        </w:rPr>
        <w:t xml:space="preserve"> </w:t>
      </w:r>
    </w:p>
    <w:p w:rsidR="00A51962" w:rsidRPr="00513653" w:rsidRDefault="00A3251C" w:rsidP="00513653">
      <w:pPr>
        <w:autoSpaceDE w:val="0"/>
        <w:autoSpaceDN w:val="0"/>
        <w:adjustRightInd w:val="0"/>
        <w:spacing w:after="120" w:line="240" w:lineRule="auto"/>
        <w:ind w:left="40" w:right="-20"/>
        <w:jc w:val="both"/>
        <w:rPr>
          <w:rFonts w:ascii="Times New Roman" w:hAnsi="Times New Roman" w:cs="Times New Roman"/>
          <w:position w:val="1"/>
          <w:sz w:val="24"/>
          <w:szCs w:val="24"/>
        </w:rPr>
      </w:pPr>
      <w:r w:rsidRPr="006F4D99">
        <w:rPr>
          <w:rFonts w:ascii="Times New Roman" w:hAnsi="Times New Roman" w:cs="Times New Roman"/>
          <w:b/>
          <w:position w:val="1"/>
          <w:sz w:val="24"/>
          <w:szCs w:val="24"/>
        </w:rPr>
        <w:t>Intervento n. 14</w:t>
      </w:r>
      <w:r w:rsidRPr="006F4D99">
        <w:rPr>
          <w:rFonts w:ascii="Times New Roman" w:hAnsi="Times New Roman" w:cs="Times New Roman"/>
          <w:position w:val="1"/>
          <w:sz w:val="24"/>
          <w:szCs w:val="24"/>
        </w:rPr>
        <w:t xml:space="preserve">: </w:t>
      </w:r>
      <w:r w:rsidR="00BB6BC2">
        <w:rPr>
          <w:rFonts w:ascii="Times New Roman" w:hAnsi="Times New Roman" w:cs="Times New Roman"/>
          <w:position w:val="1"/>
          <w:sz w:val="24"/>
          <w:szCs w:val="24"/>
        </w:rPr>
        <w:t>D</w:t>
      </w:r>
      <w:bookmarkStart w:id="0" w:name="_GoBack"/>
      <w:bookmarkEnd w:id="0"/>
      <w:r w:rsidR="00513653">
        <w:rPr>
          <w:rFonts w:ascii="Times New Roman" w:hAnsi="Times New Roman" w:cs="Times New Roman"/>
          <w:position w:val="1"/>
          <w:sz w:val="24"/>
          <w:szCs w:val="24"/>
        </w:rPr>
        <w:t>eve essere ancora rodata la macchina organizzativa sottesa alla gestione dei bandi sul nuovo sistema SIU. Deve essere migliorata l’usabilità del sistema per renderlo maggiormente fruibile da parte della platea di beneficiari.</w:t>
      </w:r>
    </w:p>
    <w:sectPr w:rsidR="00A51962" w:rsidRPr="00513653" w:rsidSect="00284556">
      <w:footerReference w:type="even" r:id="rId8"/>
      <w:footerReference w:type="default" r:id="rId9"/>
      <w:pgSz w:w="11906" w:h="16838"/>
      <w:pgMar w:top="1823" w:right="1134" w:bottom="162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39" w:rsidRDefault="00154939" w:rsidP="00375D83">
      <w:pPr>
        <w:spacing w:after="0" w:line="240" w:lineRule="auto"/>
      </w:pPr>
      <w:r>
        <w:separator/>
      </w:r>
    </w:p>
  </w:endnote>
  <w:endnote w:type="continuationSeparator" w:id="0">
    <w:p w:rsidR="00154939" w:rsidRDefault="00154939" w:rsidP="0037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87" w:rsidRDefault="00107487" w:rsidP="009A24F1">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07487" w:rsidRDefault="00107487" w:rsidP="00375D8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87" w:rsidRDefault="00107487" w:rsidP="009A24F1">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54939">
      <w:rPr>
        <w:rStyle w:val="Numeropagina"/>
        <w:noProof/>
      </w:rPr>
      <w:t>1</w:t>
    </w:r>
    <w:r>
      <w:rPr>
        <w:rStyle w:val="Numeropagina"/>
      </w:rPr>
      <w:fldChar w:fldCharType="end"/>
    </w:r>
  </w:p>
  <w:p w:rsidR="00107487" w:rsidRDefault="00107487" w:rsidP="00375D8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39" w:rsidRDefault="00154939" w:rsidP="00375D83">
      <w:pPr>
        <w:spacing w:after="0" w:line="240" w:lineRule="auto"/>
      </w:pPr>
      <w:r>
        <w:separator/>
      </w:r>
    </w:p>
  </w:footnote>
  <w:footnote w:type="continuationSeparator" w:id="0">
    <w:p w:rsidR="00154939" w:rsidRDefault="00154939" w:rsidP="00375D83">
      <w:pPr>
        <w:spacing w:after="0" w:line="240" w:lineRule="auto"/>
      </w:pPr>
      <w:r>
        <w:continuationSeparator/>
      </w:r>
    </w:p>
  </w:footnote>
  <w:footnote w:id="1">
    <w:p w:rsidR="00107487" w:rsidRPr="00621D2D" w:rsidRDefault="00107487">
      <w:pPr>
        <w:pStyle w:val="Testonotaapidipagina"/>
        <w:rPr>
          <w:i/>
        </w:rPr>
      </w:pPr>
      <w:r w:rsidRPr="00621D2D">
        <w:rPr>
          <w:rStyle w:val="Rimandonotaapidipagina"/>
          <w:i/>
        </w:rPr>
        <w:footnoteRef/>
      </w:r>
      <w:r w:rsidRPr="00621D2D">
        <w:rPr>
          <w:i/>
        </w:rPr>
        <w:t xml:space="preserve"> </w:t>
      </w:r>
      <w:r w:rsidRPr="00621D2D">
        <w:rPr>
          <w:rFonts w:ascii="Times New Roman" w:hAnsi="Times New Roman" w:cs="Times New Roman"/>
          <w:i/>
        </w:rPr>
        <w:t xml:space="preserve">Dimensione indicativa della relazione </w:t>
      </w:r>
      <w:r>
        <w:rPr>
          <w:rFonts w:ascii="Times New Roman" w:hAnsi="Times New Roman" w:cs="Times New Roman"/>
          <w:i/>
        </w:rPr>
        <w:t xml:space="preserve">tra le </w:t>
      </w:r>
      <w:r w:rsidRPr="00621D2D">
        <w:rPr>
          <w:rFonts w:ascii="Times New Roman" w:hAnsi="Times New Roman" w:cs="Times New Roman"/>
          <w:i/>
        </w:rPr>
        <w:t>700 e 1500 parole</w:t>
      </w:r>
      <w:r>
        <w:rPr>
          <w:rFonts w:ascii="Times New Roman" w:hAnsi="Times New Roman" w:cs="Times New Roman"/>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39C"/>
    <w:multiLevelType w:val="hybridMultilevel"/>
    <w:tmpl w:val="114E48A4"/>
    <w:lvl w:ilvl="0" w:tplc="BA804BB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14F48"/>
    <w:multiLevelType w:val="hybridMultilevel"/>
    <w:tmpl w:val="7820DF2E"/>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2">
    <w:nsid w:val="19CB3955"/>
    <w:multiLevelType w:val="hybridMultilevel"/>
    <w:tmpl w:val="A5E61C28"/>
    <w:lvl w:ilvl="0" w:tplc="B6E4E7C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CB3EAC"/>
    <w:multiLevelType w:val="hybridMultilevel"/>
    <w:tmpl w:val="BF803C80"/>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4">
    <w:nsid w:val="38167419"/>
    <w:multiLevelType w:val="hybridMultilevel"/>
    <w:tmpl w:val="89DE7FBC"/>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5">
    <w:nsid w:val="5B3C4472"/>
    <w:multiLevelType w:val="hybridMultilevel"/>
    <w:tmpl w:val="7F92AA30"/>
    <w:lvl w:ilvl="0" w:tplc="E80E27A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65A6868"/>
    <w:multiLevelType w:val="hybridMultilevel"/>
    <w:tmpl w:val="53683A26"/>
    <w:lvl w:ilvl="0" w:tplc="BA804BB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F361312"/>
    <w:multiLevelType w:val="hybridMultilevel"/>
    <w:tmpl w:val="7F14AA18"/>
    <w:lvl w:ilvl="0" w:tplc="AD2E5C9E">
      <w:start w:val="10"/>
      <w:numFmt w:val="bullet"/>
      <w:lvlText w:val=""/>
      <w:lvlJc w:val="left"/>
      <w:pPr>
        <w:ind w:left="1060" w:hanging="70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A4"/>
    <w:rsid w:val="00004865"/>
    <w:rsid w:val="00034D20"/>
    <w:rsid w:val="00037B14"/>
    <w:rsid w:val="000519D2"/>
    <w:rsid w:val="000B3F7E"/>
    <w:rsid w:val="00107487"/>
    <w:rsid w:val="00114A70"/>
    <w:rsid w:val="0012006E"/>
    <w:rsid w:val="001209B5"/>
    <w:rsid w:val="001518E6"/>
    <w:rsid w:val="00154939"/>
    <w:rsid w:val="001814E0"/>
    <w:rsid w:val="00185DCC"/>
    <w:rsid w:val="001A4047"/>
    <w:rsid w:val="001D3B1F"/>
    <w:rsid w:val="00222A4B"/>
    <w:rsid w:val="002372E0"/>
    <w:rsid w:val="0025776D"/>
    <w:rsid w:val="00271330"/>
    <w:rsid w:val="00284556"/>
    <w:rsid w:val="002A3218"/>
    <w:rsid w:val="002D2A6E"/>
    <w:rsid w:val="002F6927"/>
    <w:rsid w:val="003126B8"/>
    <w:rsid w:val="0031689E"/>
    <w:rsid w:val="00340CBE"/>
    <w:rsid w:val="00375D83"/>
    <w:rsid w:val="00376E2E"/>
    <w:rsid w:val="0037718A"/>
    <w:rsid w:val="00381F7B"/>
    <w:rsid w:val="00382E7C"/>
    <w:rsid w:val="003839FC"/>
    <w:rsid w:val="003A088C"/>
    <w:rsid w:val="003B57BA"/>
    <w:rsid w:val="003D30DA"/>
    <w:rsid w:val="003D40EF"/>
    <w:rsid w:val="003F6387"/>
    <w:rsid w:val="00462ECA"/>
    <w:rsid w:val="00464288"/>
    <w:rsid w:val="004840EF"/>
    <w:rsid w:val="0048695F"/>
    <w:rsid w:val="004A54D8"/>
    <w:rsid w:val="004B4C7E"/>
    <w:rsid w:val="004C2CA7"/>
    <w:rsid w:val="005120CA"/>
    <w:rsid w:val="00513653"/>
    <w:rsid w:val="00541A05"/>
    <w:rsid w:val="005434E8"/>
    <w:rsid w:val="005540BB"/>
    <w:rsid w:val="005623DE"/>
    <w:rsid w:val="005726A5"/>
    <w:rsid w:val="005C28A1"/>
    <w:rsid w:val="005D43EA"/>
    <w:rsid w:val="005E74CC"/>
    <w:rsid w:val="005F0F3B"/>
    <w:rsid w:val="005F5CE5"/>
    <w:rsid w:val="00603AB2"/>
    <w:rsid w:val="006114EA"/>
    <w:rsid w:val="00621D2D"/>
    <w:rsid w:val="00636955"/>
    <w:rsid w:val="00636DBD"/>
    <w:rsid w:val="00653DBC"/>
    <w:rsid w:val="00666D35"/>
    <w:rsid w:val="00667388"/>
    <w:rsid w:val="006702E8"/>
    <w:rsid w:val="006947D1"/>
    <w:rsid w:val="006976C1"/>
    <w:rsid w:val="006A0A1F"/>
    <w:rsid w:val="006C3B0E"/>
    <w:rsid w:val="006F4D99"/>
    <w:rsid w:val="0071442D"/>
    <w:rsid w:val="00765388"/>
    <w:rsid w:val="0076710A"/>
    <w:rsid w:val="00776D77"/>
    <w:rsid w:val="0078647B"/>
    <w:rsid w:val="007C0276"/>
    <w:rsid w:val="007C048E"/>
    <w:rsid w:val="007C4033"/>
    <w:rsid w:val="007E6E7C"/>
    <w:rsid w:val="007F664C"/>
    <w:rsid w:val="007F7D6C"/>
    <w:rsid w:val="008229B6"/>
    <w:rsid w:val="008333BB"/>
    <w:rsid w:val="008559E6"/>
    <w:rsid w:val="00863725"/>
    <w:rsid w:val="00892FB3"/>
    <w:rsid w:val="008B1162"/>
    <w:rsid w:val="008B130A"/>
    <w:rsid w:val="008B35EC"/>
    <w:rsid w:val="008E108F"/>
    <w:rsid w:val="0090149F"/>
    <w:rsid w:val="00914095"/>
    <w:rsid w:val="00927FE6"/>
    <w:rsid w:val="00987DB5"/>
    <w:rsid w:val="009A24F1"/>
    <w:rsid w:val="009D2485"/>
    <w:rsid w:val="009E3948"/>
    <w:rsid w:val="00A00B31"/>
    <w:rsid w:val="00A2019D"/>
    <w:rsid w:val="00A3251C"/>
    <w:rsid w:val="00A51962"/>
    <w:rsid w:val="00A92FA9"/>
    <w:rsid w:val="00AB31F3"/>
    <w:rsid w:val="00AF1249"/>
    <w:rsid w:val="00AF786A"/>
    <w:rsid w:val="00B47E26"/>
    <w:rsid w:val="00B54090"/>
    <w:rsid w:val="00B56F9A"/>
    <w:rsid w:val="00B66704"/>
    <w:rsid w:val="00B71E39"/>
    <w:rsid w:val="00B723D5"/>
    <w:rsid w:val="00B965AF"/>
    <w:rsid w:val="00BB6BC2"/>
    <w:rsid w:val="00BC4FBC"/>
    <w:rsid w:val="00BD2C33"/>
    <w:rsid w:val="00BE779B"/>
    <w:rsid w:val="00C047C6"/>
    <w:rsid w:val="00C21A18"/>
    <w:rsid w:val="00C22240"/>
    <w:rsid w:val="00C54251"/>
    <w:rsid w:val="00C63A10"/>
    <w:rsid w:val="00C739B6"/>
    <w:rsid w:val="00C843E5"/>
    <w:rsid w:val="00CE4079"/>
    <w:rsid w:val="00CF06A9"/>
    <w:rsid w:val="00D06641"/>
    <w:rsid w:val="00D27D58"/>
    <w:rsid w:val="00D3789E"/>
    <w:rsid w:val="00D40E84"/>
    <w:rsid w:val="00D41867"/>
    <w:rsid w:val="00D46F05"/>
    <w:rsid w:val="00D952A4"/>
    <w:rsid w:val="00DC0DED"/>
    <w:rsid w:val="00DE7136"/>
    <w:rsid w:val="00E00CE3"/>
    <w:rsid w:val="00E3777E"/>
    <w:rsid w:val="00E41DC3"/>
    <w:rsid w:val="00E50FA4"/>
    <w:rsid w:val="00E70CE8"/>
    <w:rsid w:val="00E7779F"/>
    <w:rsid w:val="00E93D07"/>
    <w:rsid w:val="00F15346"/>
    <w:rsid w:val="00F474B3"/>
    <w:rsid w:val="00F51EC9"/>
    <w:rsid w:val="00F7021A"/>
    <w:rsid w:val="00F831B0"/>
    <w:rsid w:val="00F84166"/>
    <w:rsid w:val="00F8757D"/>
    <w:rsid w:val="00F914D6"/>
    <w:rsid w:val="00FA654E"/>
    <w:rsid w:val="00FD0FC4"/>
    <w:rsid w:val="00FE720A"/>
    <w:rsid w:val="00FF39E4"/>
    <w:rsid w:val="00FF7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aliases w:val="Normal bullet 2,Bullet list,Numbered List,List Paragraph1"/>
    <w:basedOn w:val="Normale"/>
    <w:link w:val="Elencoacolori-Colore1Carattere"/>
    <w:uiPriority w:val="34"/>
    <w:qFormat/>
    <w:rsid w:val="00381F7B"/>
    <w:pPr>
      <w:ind w:left="720"/>
      <w:contextualSpacing/>
    </w:pPr>
    <w:rPr>
      <w:rFonts w:ascii="Calibri" w:eastAsia="Calibri" w:hAnsi="Calibri" w:cs="Times New Roman"/>
    </w:rPr>
  </w:style>
  <w:style w:type="character" w:customStyle="1" w:styleId="Elencoacolori-Colore1Carattere">
    <w:name w:val="Elenco a colori - Colore 1 Carattere"/>
    <w:aliases w:val="Normal bullet 2 Carattere,Bullet list Carattere,Numbered List Carattere,List Paragraph1 Carattere"/>
    <w:link w:val="Elencoacolori-Colore11"/>
    <w:uiPriority w:val="34"/>
    <w:rsid w:val="00381F7B"/>
    <w:rPr>
      <w:rFonts w:ascii="Calibri" w:eastAsia="Calibri" w:hAnsi="Calibri" w:cs="Times New Roman"/>
    </w:rPr>
  </w:style>
  <w:style w:type="paragraph" w:styleId="Paragrafoelenco">
    <w:name w:val="List Paragraph"/>
    <w:basedOn w:val="Normale"/>
    <w:uiPriority w:val="34"/>
    <w:qFormat/>
    <w:rsid w:val="006976C1"/>
    <w:pPr>
      <w:ind w:left="720"/>
      <w:contextualSpacing/>
    </w:pPr>
  </w:style>
  <w:style w:type="paragraph" w:styleId="Pidipagina">
    <w:name w:val="footer"/>
    <w:basedOn w:val="Normale"/>
    <w:link w:val="PidipaginaCarattere"/>
    <w:uiPriority w:val="99"/>
    <w:unhideWhenUsed/>
    <w:rsid w:val="00375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5D83"/>
  </w:style>
  <w:style w:type="character" w:styleId="Numeropagina">
    <w:name w:val="page number"/>
    <w:basedOn w:val="Carpredefinitoparagrafo"/>
    <w:uiPriority w:val="99"/>
    <w:semiHidden/>
    <w:unhideWhenUsed/>
    <w:rsid w:val="00375D83"/>
  </w:style>
  <w:style w:type="paragraph" w:styleId="Mappadocumento">
    <w:name w:val="Document Map"/>
    <w:basedOn w:val="Normale"/>
    <w:link w:val="MappadocumentoCarattere"/>
    <w:uiPriority w:val="99"/>
    <w:semiHidden/>
    <w:unhideWhenUsed/>
    <w:rsid w:val="005726A5"/>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5726A5"/>
    <w:rPr>
      <w:rFonts w:ascii="Times New Roman" w:hAnsi="Times New Roman" w:cs="Times New Roman"/>
      <w:sz w:val="24"/>
      <w:szCs w:val="24"/>
    </w:rPr>
  </w:style>
  <w:style w:type="paragraph" w:styleId="Testonotaapidipagina">
    <w:name w:val="footnote text"/>
    <w:basedOn w:val="Normale"/>
    <w:link w:val="TestonotaapidipaginaCarattere"/>
    <w:uiPriority w:val="99"/>
    <w:unhideWhenUsed/>
    <w:rsid w:val="00621D2D"/>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621D2D"/>
    <w:rPr>
      <w:sz w:val="24"/>
      <w:szCs w:val="24"/>
    </w:rPr>
  </w:style>
  <w:style w:type="character" w:styleId="Rimandonotaapidipagina">
    <w:name w:val="footnote reference"/>
    <w:basedOn w:val="Carpredefinitoparagrafo"/>
    <w:uiPriority w:val="99"/>
    <w:unhideWhenUsed/>
    <w:rsid w:val="00621D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aliases w:val="Normal bullet 2,Bullet list,Numbered List,List Paragraph1"/>
    <w:basedOn w:val="Normale"/>
    <w:link w:val="Elencoacolori-Colore1Carattere"/>
    <w:uiPriority w:val="34"/>
    <w:qFormat/>
    <w:rsid w:val="00381F7B"/>
    <w:pPr>
      <w:ind w:left="720"/>
      <w:contextualSpacing/>
    </w:pPr>
    <w:rPr>
      <w:rFonts w:ascii="Calibri" w:eastAsia="Calibri" w:hAnsi="Calibri" w:cs="Times New Roman"/>
    </w:rPr>
  </w:style>
  <w:style w:type="character" w:customStyle="1" w:styleId="Elencoacolori-Colore1Carattere">
    <w:name w:val="Elenco a colori - Colore 1 Carattere"/>
    <w:aliases w:val="Normal bullet 2 Carattere,Bullet list Carattere,Numbered List Carattere,List Paragraph1 Carattere"/>
    <w:link w:val="Elencoacolori-Colore11"/>
    <w:uiPriority w:val="34"/>
    <w:rsid w:val="00381F7B"/>
    <w:rPr>
      <w:rFonts w:ascii="Calibri" w:eastAsia="Calibri" w:hAnsi="Calibri" w:cs="Times New Roman"/>
    </w:rPr>
  </w:style>
  <w:style w:type="paragraph" w:styleId="Paragrafoelenco">
    <w:name w:val="List Paragraph"/>
    <w:basedOn w:val="Normale"/>
    <w:uiPriority w:val="34"/>
    <w:qFormat/>
    <w:rsid w:val="006976C1"/>
    <w:pPr>
      <w:ind w:left="720"/>
      <w:contextualSpacing/>
    </w:pPr>
  </w:style>
  <w:style w:type="paragraph" w:styleId="Pidipagina">
    <w:name w:val="footer"/>
    <w:basedOn w:val="Normale"/>
    <w:link w:val="PidipaginaCarattere"/>
    <w:uiPriority w:val="99"/>
    <w:unhideWhenUsed/>
    <w:rsid w:val="00375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5D83"/>
  </w:style>
  <w:style w:type="character" w:styleId="Numeropagina">
    <w:name w:val="page number"/>
    <w:basedOn w:val="Carpredefinitoparagrafo"/>
    <w:uiPriority w:val="99"/>
    <w:semiHidden/>
    <w:unhideWhenUsed/>
    <w:rsid w:val="00375D83"/>
  </w:style>
  <w:style w:type="paragraph" w:styleId="Mappadocumento">
    <w:name w:val="Document Map"/>
    <w:basedOn w:val="Normale"/>
    <w:link w:val="MappadocumentoCarattere"/>
    <w:uiPriority w:val="99"/>
    <w:semiHidden/>
    <w:unhideWhenUsed/>
    <w:rsid w:val="005726A5"/>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5726A5"/>
    <w:rPr>
      <w:rFonts w:ascii="Times New Roman" w:hAnsi="Times New Roman" w:cs="Times New Roman"/>
      <w:sz w:val="24"/>
      <w:szCs w:val="24"/>
    </w:rPr>
  </w:style>
  <w:style w:type="paragraph" w:styleId="Testonotaapidipagina">
    <w:name w:val="footnote text"/>
    <w:basedOn w:val="Normale"/>
    <w:link w:val="TestonotaapidipaginaCarattere"/>
    <w:uiPriority w:val="99"/>
    <w:unhideWhenUsed/>
    <w:rsid w:val="00621D2D"/>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621D2D"/>
    <w:rPr>
      <w:sz w:val="24"/>
      <w:szCs w:val="24"/>
    </w:rPr>
  </w:style>
  <w:style w:type="character" w:styleId="Rimandonotaapidipagina">
    <w:name w:val="footnote reference"/>
    <w:basedOn w:val="Carpredefinitoparagrafo"/>
    <w:uiPriority w:val="99"/>
    <w:unhideWhenUsed/>
    <w:rsid w:val="00621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6266">
      <w:bodyDiv w:val="1"/>
      <w:marLeft w:val="0"/>
      <w:marRight w:val="0"/>
      <w:marTop w:val="0"/>
      <w:marBottom w:val="0"/>
      <w:divBdr>
        <w:top w:val="none" w:sz="0" w:space="0" w:color="auto"/>
        <w:left w:val="none" w:sz="0" w:space="0" w:color="auto"/>
        <w:bottom w:val="none" w:sz="0" w:space="0" w:color="auto"/>
        <w:right w:val="none" w:sz="0" w:space="0" w:color="auto"/>
      </w:divBdr>
    </w:div>
    <w:div w:id="6399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1622</Words>
  <Characters>9246</Characters>
  <Application>Microsoft Office Word</Application>
  <DocSecurity>0</DocSecurity>
  <Lines>77</Lines>
  <Paragraphs>21</Paragraphs>
  <ScaleCrop>false</ScaleCrop>
  <HeadingPairs>
    <vt:vector size="4" baseType="variant">
      <vt:variant>
        <vt:lpstr>Titolo</vt:lpstr>
      </vt:variant>
      <vt:variant>
        <vt:i4>1</vt:i4>
      </vt:variant>
      <vt:variant>
        <vt:lpstr>Intestazioni</vt:lpstr>
      </vt:variant>
      <vt:variant>
        <vt:i4>14</vt:i4>
      </vt:variant>
    </vt:vector>
  </HeadingPairs>
  <TitlesOfParts>
    <vt:vector size="15" baseType="lpstr">
      <vt:lpstr/>
      <vt:lpstr>PIANO DI RAFFORZAMENTO AMMINISTRATIVO (PRA)</vt:lpstr>
      <vt:lpstr>DELLA REGIONE DEL VENETO</vt:lpstr>
      <vt:lpstr>Relazione qualitativa al 2  quadrimestre 31 agosto 2017  </vt:lpstr>
      <vt:lpstr>Introduzione	</vt:lpstr>
      <vt:lpstr/>
      <vt:lpstr>Sezione 1. Avanzamento degli interventi di rafforzamento amministrativo</vt:lpstr>
      <vt:lpstr>L’attuazione della prima fase del PRA del Veneto volge al suo naturale termine b</vt:lpstr>
      <vt:lpstr/>
      <vt:lpstr>Sezione 2 - i risultati conseguiti dagli interventi</vt:lpstr>
      <vt:lpstr/>
      <vt:lpstr/>
      <vt:lpstr>Sezione 3 - i principali problemi incontrati dagli interventi</vt:lpstr>
      <vt:lpstr/>
      <vt:lpstr/>
    </vt:vector>
  </TitlesOfParts>
  <Company>Giunta Regionale</Company>
  <LinksUpToDate>false</LinksUpToDate>
  <CharactersWithSpaces>10847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Centurelli</dc:creator>
  <cp:lastModifiedBy>Administrator</cp:lastModifiedBy>
  <cp:revision>14</cp:revision>
  <cp:lastPrinted>2016-02-05T09:10:00Z</cp:lastPrinted>
  <dcterms:created xsi:type="dcterms:W3CDTF">2017-10-02T07:02:00Z</dcterms:created>
  <dcterms:modified xsi:type="dcterms:W3CDTF">2017-10-03T13:37:00Z</dcterms:modified>
</cp:coreProperties>
</file>